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826"/>
        <w:gridCol w:w="5638"/>
      </w:tblGrid>
      <w:tr w:rsidR="002B5BA1" w:rsidRPr="002B5BA1">
        <w:trPr>
          <w:trHeight w:val="993"/>
          <w:tblCellSpacing w:w="0" w:type="dxa"/>
        </w:trPr>
        <w:tc>
          <w:tcPr>
            <w:tcW w:w="3826" w:type="dxa"/>
            <w:shd w:val="clear" w:color="auto" w:fill="FFFFFF"/>
            <w:tcMar>
              <w:top w:w="0" w:type="dxa"/>
              <w:left w:w="108" w:type="dxa"/>
              <w:bottom w:w="0" w:type="dxa"/>
              <w:right w:w="108" w:type="dxa"/>
            </w:tcMar>
            <w:hideMark/>
          </w:tcPr>
          <w:p w:rsidR="004E24EF" w:rsidRPr="002B5BA1" w:rsidRDefault="007837A0">
            <w:pPr>
              <w:jc w:val="center"/>
              <w:rPr>
                <w:rFonts w:ascii="Times New Roman" w:eastAsia="Times New Roman" w:hAnsi="Times New Roman" w:cs="Times New Roman"/>
                <w:bCs/>
                <w:sz w:val="24"/>
                <w:szCs w:val="24"/>
              </w:rPr>
            </w:pPr>
            <w:r w:rsidRPr="002B5BA1">
              <w:rPr>
                <w:rFonts w:ascii="Times New Roman" w:eastAsia="Times New Roman" w:hAnsi="Times New Roman" w:cs="Times New Roman"/>
                <w:bCs/>
                <w:sz w:val="24"/>
                <w:szCs w:val="24"/>
              </w:rPr>
              <w:t>UBND THÀNH PHỐ HẢI PHÒNG</w:t>
            </w:r>
          </w:p>
          <w:p w:rsidR="004E24EF" w:rsidRPr="002B5BA1" w:rsidRDefault="00674291">
            <w:pPr>
              <w:jc w:val="center"/>
              <w:rPr>
                <w:rFonts w:ascii="Times New Roman" w:eastAsia="Times New Roman" w:hAnsi="Times New Roman" w:cs="Times New Roman"/>
                <w:sz w:val="28"/>
                <w:szCs w:val="28"/>
              </w:rPr>
            </w:pPr>
            <w:r w:rsidRPr="002B5BA1">
              <w:rPr>
                <w:rFonts w:ascii="Times New Roman" w:eastAsia="Times New Roman" w:hAnsi="Times New Roman" w:cs="Times New Roman"/>
                <w:bCs/>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61.15pt;margin-top:28.55pt;width:58.95pt;height:.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"/>
              </w:pict>
            </w:r>
            <w:r w:rsidR="007837A0" w:rsidRPr="002B5BA1">
              <w:rPr>
                <w:rFonts w:ascii="Times New Roman" w:eastAsia="Times New Roman" w:hAnsi="Times New Roman" w:cs="Times New Roman"/>
                <w:b/>
                <w:bCs/>
                <w:sz w:val="24"/>
                <w:szCs w:val="24"/>
              </w:rPr>
              <w:t>SỞ LAO ĐỘNG-THƯƠNG BINH VÀ XÃ HỘI</w:t>
            </w:r>
          </w:p>
        </w:tc>
        <w:tc>
          <w:tcPr>
            <w:tcW w:w="5638" w:type="dxa"/>
            <w:shd w:val="clear" w:color="auto" w:fill="FFFFFF"/>
            <w:tcMar>
              <w:top w:w="0" w:type="dxa"/>
              <w:left w:w="108" w:type="dxa"/>
              <w:bottom w:w="0" w:type="dxa"/>
              <w:right w:w="108" w:type="dxa"/>
            </w:tcMar>
            <w:hideMark/>
          </w:tcPr>
          <w:p w:rsidR="004E24EF" w:rsidRPr="002B5BA1" w:rsidRDefault="00674291">
            <w:pPr>
              <w:spacing w:before="120" w:after="120"/>
              <w:jc w:val="center"/>
              <w:rPr>
                <w:rFonts w:ascii="Times New Roman" w:eastAsia="Times New Roman" w:hAnsi="Times New Roman" w:cs="Times New Roman"/>
                <w:sz w:val="28"/>
                <w:szCs w:val="28"/>
              </w:rPr>
            </w:pPr>
            <w:r w:rsidRPr="002B5BA1">
              <w:rPr>
                <w:rFonts w:ascii="Times New Roman" w:eastAsia="Times New Roman" w:hAnsi="Times New Roman" w:cs="Times New Roman"/>
                <w:b/>
                <w:bCs/>
                <w:noProof/>
                <w:sz w:val="24"/>
                <w:szCs w:val="24"/>
              </w:rPr>
              <w:pict>
                <v:shape id="AutoShape 4" o:spid="_x0000_s1027" type="#_x0000_t32" style="position:absolute;left:0;text-align:left;margin-left:47.65pt;margin-top:39.5pt;width:173.4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7tJwIAAEg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" adj="-40360,-1,-40360"/>
              </w:pict>
            </w:r>
            <w:r w:rsidR="007837A0" w:rsidRPr="002B5BA1">
              <w:rPr>
                <w:rFonts w:ascii="Times New Roman" w:eastAsia="Times New Roman" w:hAnsi="Times New Roman" w:cs="Times New Roman"/>
                <w:b/>
                <w:bCs/>
                <w:sz w:val="24"/>
                <w:szCs w:val="24"/>
              </w:rPr>
              <w:t>CỘNG HÒA XÃ HỘI CHỦ NGHĨA VIỆT NAM</w:t>
            </w:r>
            <w:r w:rsidR="007837A0" w:rsidRPr="002B5BA1">
              <w:rPr>
                <w:rFonts w:ascii="Times New Roman" w:eastAsia="Times New Roman" w:hAnsi="Times New Roman" w:cs="Times New Roman"/>
                <w:b/>
                <w:bCs/>
                <w:sz w:val="24"/>
                <w:szCs w:val="24"/>
              </w:rPr>
              <w:br/>
            </w:r>
            <w:r w:rsidR="007837A0" w:rsidRPr="002B5BA1">
              <w:rPr>
                <w:rFonts w:ascii="Times New Roman" w:eastAsia="Times New Roman" w:hAnsi="Times New Roman" w:cs="Times New Roman"/>
                <w:b/>
                <w:bCs/>
                <w:sz w:val="28"/>
                <w:szCs w:val="28"/>
              </w:rPr>
              <w:t>Độc lập - Tự do - Hạnh phúc</w:t>
            </w:r>
          </w:p>
        </w:tc>
      </w:tr>
      <w:tr w:rsidR="002B5BA1" w:rsidRPr="002B5BA1">
        <w:trPr>
          <w:trHeight w:val="256"/>
          <w:tblCellSpacing w:w="0" w:type="dxa"/>
        </w:trPr>
        <w:tc>
          <w:tcPr>
            <w:tcW w:w="3826" w:type="dxa"/>
            <w:shd w:val="clear" w:color="auto" w:fill="FFFFFF"/>
            <w:tcMar>
              <w:top w:w="0" w:type="dxa"/>
              <w:left w:w="108" w:type="dxa"/>
              <w:bottom w:w="0" w:type="dxa"/>
              <w:right w:w="108" w:type="dxa"/>
            </w:tcMar>
            <w:hideMark/>
          </w:tcPr>
          <w:p w:rsidR="004E24EF" w:rsidRPr="002B5BA1" w:rsidRDefault="007837A0">
            <w:pPr>
              <w:spacing w:before="120" w:after="120" w:line="146" w:lineRule="atLeast"/>
              <w:jc w:val="center"/>
              <w:rPr>
                <w:rFonts w:ascii="Times New Roman" w:eastAsia="Times New Roman" w:hAnsi="Times New Roman" w:cs="Times New Roman"/>
                <w:sz w:val="28"/>
                <w:szCs w:val="28"/>
              </w:rPr>
            </w:pPr>
            <w:r w:rsidRPr="002B5BA1">
              <w:rPr>
                <w:rFonts w:ascii="Times New Roman" w:eastAsia="Times New Roman" w:hAnsi="Times New Roman" w:cs="Times New Roman"/>
                <w:sz w:val="28"/>
                <w:szCs w:val="28"/>
              </w:rPr>
              <w:t>Số:           /BC-SLĐTBXH</w:t>
            </w:r>
          </w:p>
        </w:tc>
        <w:tc>
          <w:tcPr>
            <w:tcW w:w="5638" w:type="dxa"/>
            <w:shd w:val="clear" w:color="auto" w:fill="FFFFFF"/>
            <w:tcMar>
              <w:top w:w="0" w:type="dxa"/>
              <w:left w:w="108" w:type="dxa"/>
              <w:bottom w:w="0" w:type="dxa"/>
              <w:right w:w="108" w:type="dxa"/>
            </w:tcMar>
            <w:hideMark/>
          </w:tcPr>
          <w:p w:rsidR="004E24EF" w:rsidRPr="002B5BA1" w:rsidRDefault="007837A0">
            <w:pPr>
              <w:spacing w:before="120" w:after="120" w:line="146" w:lineRule="atLeast"/>
              <w:jc w:val="center"/>
              <w:rPr>
                <w:rFonts w:ascii="Times New Roman" w:eastAsia="Times New Roman" w:hAnsi="Times New Roman" w:cs="Times New Roman"/>
                <w:sz w:val="28"/>
                <w:szCs w:val="28"/>
              </w:rPr>
            </w:pPr>
            <w:r w:rsidRPr="002B5BA1">
              <w:rPr>
                <w:rFonts w:ascii="Times New Roman" w:eastAsia="Times New Roman" w:hAnsi="Times New Roman" w:cs="Times New Roman"/>
                <w:i/>
                <w:iCs/>
                <w:sz w:val="28"/>
                <w:szCs w:val="28"/>
              </w:rPr>
              <w:t>Hải Phòng, ngày      tháng     năm 2024</w:t>
            </w:r>
          </w:p>
        </w:tc>
      </w:tr>
    </w:tbl>
    <w:p w:rsidR="004E24EF" w:rsidRPr="002B5BA1" w:rsidRDefault="004E24EF">
      <w:pPr>
        <w:shd w:val="clear" w:color="auto" w:fill="FFFFFF"/>
        <w:jc w:val="left"/>
        <w:rPr>
          <w:rFonts w:ascii="Times New Roman" w:eastAsia="Times New Roman" w:hAnsi="Times New Roman" w:cs="Times New Roman"/>
          <w:sz w:val="4"/>
          <w:szCs w:val="28"/>
        </w:rPr>
      </w:pPr>
    </w:p>
    <w:p w:rsidR="008E72B1" w:rsidRPr="002B5BA1" w:rsidRDefault="008E72B1" w:rsidP="008E72B1">
      <w:pPr>
        <w:widowControl w:val="0"/>
        <w:tabs>
          <w:tab w:val="center" w:pos="4564"/>
          <w:tab w:val="left" w:pos="6924"/>
        </w:tabs>
        <w:outlineLvl w:val="0"/>
        <w:rPr>
          <w:rFonts w:ascii="Times New Roman" w:hAnsi="Times New Roman"/>
          <w:b/>
          <w:sz w:val="28"/>
          <w:szCs w:val="28"/>
        </w:rPr>
      </w:pPr>
      <w:bookmarkStart w:id="0" w:name="loai_1_name"/>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8E72B1" w:rsidRPr="002B5BA1" w:rsidTr="007F103A">
        <w:trPr>
          <w:trHeight w:val="383"/>
        </w:trPr>
        <w:tc>
          <w:tcPr>
            <w:tcW w:w="1701" w:type="dxa"/>
            <w:tcBorders>
              <w:top w:val="single" w:sz="4" w:space="0" w:color="auto"/>
              <w:left w:val="single" w:sz="4" w:space="0" w:color="auto"/>
              <w:bottom w:val="single" w:sz="4" w:space="0" w:color="auto"/>
              <w:right w:val="single" w:sz="4" w:space="0" w:color="auto"/>
            </w:tcBorders>
            <w:hideMark/>
          </w:tcPr>
          <w:p w:rsidR="008E72B1" w:rsidRPr="002B5BA1" w:rsidRDefault="008E72B1" w:rsidP="007F103A">
            <w:pPr>
              <w:widowControl w:val="0"/>
              <w:tabs>
                <w:tab w:val="center" w:pos="4564"/>
                <w:tab w:val="left" w:pos="6924"/>
              </w:tabs>
              <w:jc w:val="center"/>
              <w:outlineLvl w:val="0"/>
              <w:rPr>
                <w:rFonts w:ascii="Times New Roman" w:hAnsi="Times New Roman"/>
                <w:b/>
                <w:sz w:val="28"/>
                <w:szCs w:val="28"/>
              </w:rPr>
            </w:pPr>
            <w:r w:rsidRPr="002B5BA1">
              <w:rPr>
                <w:rFonts w:ascii="Times New Roman" w:hAnsi="Times New Roman"/>
                <w:b/>
                <w:sz w:val="28"/>
                <w:szCs w:val="28"/>
              </w:rPr>
              <w:t>DỰ THẢO</w:t>
            </w:r>
          </w:p>
        </w:tc>
      </w:tr>
    </w:tbl>
    <w:p w:rsidR="008E72B1" w:rsidRPr="002B5BA1" w:rsidRDefault="008E72B1" w:rsidP="008E72B1">
      <w:pPr>
        <w:rPr>
          <w:rFonts w:ascii="Times New Roman" w:hAnsi="Times New Roman"/>
          <w:b/>
          <w:sz w:val="28"/>
          <w:szCs w:val="28"/>
          <w:lang w:val="nl-NL"/>
        </w:rPr>
      </w:pPr>
    </w:p>
    <w:p w:rsidR="004E24EF" w:rsidRPr="002B5BA1" w:rsidRDefault="007837A0">
      <w:pPr>
        <w:shd w:val="clear" w:color="auto" w:fill="FFFFFF"/>
        <w:jc w:val="center"/>
        <w:rPr>
          <w:rFonts w:ascii="Times New Roman" w:eastAsia="Times New Roman" w:hAnsi="Times New Roman" w:cs="Times New Roman"/>
          <w:b/>
          <w:sz w:val="28"/>
          <w:szCs w:val="28"/>
        </w:rPr>
      </w:pPr>
      <w:r w:rsidRPr="002B5BA1">
        <w:rPr>
          <w:rFonts w:ascii="Times New Roman" w:eastAsia="Times New Roman" w:hAnsi="Times New Roman" w:cs="Times New Roman"/>
          <w:b/>
          <w:sz w:val="28"/>
          <w:szCs w:val="28"/>
        </w:rPr>
        <w:t>BÁO CÁO TỔNG KẾT THI HÀNH PHÁP LUẬT</w:t>
      </w:r>
    </w:p>
    <w:bookmarkEnd w:id="0"/>
    <w:p w:rsidR="004E24EF" w:rsidRPr="002B5BA1" w:rsidRDefault="007837A0">
      <w:pPr>
        <w:shd w:val="clear" w:color="auto" w:fill="FFFFFF"/>
        <w:jc w:val="center"/>
        <w:outlineLvl w:val="1"/>
        <w:rPr>
          <w:rFonts w:ascii="Times New Roman" w:hAnsi="Times New Roman" w:cs="Times New Roman"/>
          <w:b/>
          <w:bCs/>
          <w:kern w:val="36"/>
          <w:sz w:val="28"/>
          <w:szCs w:val="28"/>
        </w:rPr>
      </w:pPr>
      <w:r w:rsidRPr="002B5BA1">
        <w:rPr>
          <w:rFonts w:ascii="Times New Roman" w:hAnsi="Times New Roman"/>
          <w:b/>
          <w:sz w:val="28"/>
          <w:szCs w:val="28"/>
        </w:rPr>
        <w:t xml:space="preserve">Về </w:t>
      </w:r>
      <w:r w:rsidRPr="002B5BA1">
        <w:rPr>
          <w:rFonts w:ascii="Times New Roman" w:hAnsi="Times New Roman" w:cs="Times New Roman"/>
          <w:b/>
          <w:bCs/>
          <w:kern w:val="36"/>
          <w:sz w:val="28"/>
          <w:szCs w:val="28"/>
        </w:rPr>
        <w:t xml:space="preserve">chính sách hỗ trợ cấp thẻ  bảo hiểm y tế cho người cao tuổi </w:t>
      </w:r>
    </w:p>
    <w:p w:rsidR="004E24EF" w:rsidRPr="002B5BA1" w:rsidRDefault="007837A0">
      <w:pPr>
        <w:shd w:val="clear" w:color="auto" w:fill="FFFFFF"/>
        <w:jc w:val="center"/>
        <w:outlineLvl w:val="1"/>
        <w:rPr>
          <w:rFonts w:ascii="Times New Roman" w:hAnsi="Times New Roman" w:cs="Times New Roman"/>
          <w:b/>
          <w:bCs/>
          <w:kern w:val="36"/>
          <w:sz w:val="28"/>
          <w:szCs w:val="28"/>
        </w:rPr>
      </w:pPr>
      <w:r w:rsidRPr="002B5BA1">
        <w:rPr>
          <w:rFonts w:ascii="Times New Roman" w:hAnsi="Times New Roman" w:cs="Times New Roman"/>
          <w:b/>
          <w:bCs/>
          <w:kern w:val="36"/>
          <w:sz w:val="28"/>
          <w:szCs w:val="28"/>
        </w:rPr>
        <w:t xml:space="preserve">từ 60-69 tuổi không có lương hưu, không có trợ cấp xã hội hàng tháng </w:t>
      </w:r>
    </w:p>
    <w:p w:rsidR="004E24EF" w:rsidRPr="002B5BA1" w:rsidRDefault="007837A0">
      <w:pPr>
        <w:shd w:val="clear" w:color="auto" w:fill="FFFFFF"/>
        <w:jc w:val="center"/>
        <w:outlineLvl w:val="1"/>
        <w:rPr>
          <w:rFonts w:ascii="Times New Roman" w:hAnsi="Times New Roman" w:cs="Times New Roman"/>
          <w:b/>
          <w:bCs/>
          <w:kern w:val="36"/>
          <w:sz w:val="28"/>
          <w:szCs w:val="28"/>
        </w:rPr>
      </w:pPr>
      <w:r w:rsidRPr="002B5BA1">
        <w:rPr>
          <w:rFonts w:ascii="Times New Roman" w:hAnsi="Times New Roman" w:cs="Times New Roman"/>
          <w:b/>
          <w:bCs/>
          <w:kern w:val="36"/>
          <w:sz w:val="28"/>
          <w:szCs w:val="28"/>
        </w:rPr>
        <w:t>trên địa bàn thành phố Hải Phòng</w:t>
      </w:r>
    </w:p>
    <w:p w:rsidR="004E24EF" w:rsidRPr="002B5BA1" w:rsidRDefault="00674291">
      <w:pPr>
        <w:shd w:val="clear" w:color="auto" w:fill="FFFFFF"/>
        <w:jc w:val="center"/>
        <w:rPr>
          <w:rFonts w:ascii="Times New Roman" w:eastAsia="Times New Roman" w:hAnsi="Times New Roman" w:cs="Times New Roman"/>
          <w:b/>
          <w:sz w:val="24"/>
          <w:szCs w:val="24"/>
        </w:rPr>
      </w:pPr>
      <w:r w:rsidRPr="002B5BA1">
        <w:rPr>
          <w:rFonts w:ascii="Times New Roman" w:eastAsia="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144.5pt;margin-top:3.55pt;width:156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7tJwIAAEgEAAAOAAAAZHJzL2Uyb0RvYy54bWysVE2P2yAQvVfqf0DcE9up82XFWa3spJdt&#10;N9JueyeAY1QMCEicqOp/70A+umk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" adj=",-95364000,-31784"/>
        </w:pict>
      </w:r>
    </w:p>
    <w:p w:rsidR="004E24EF" w:rsidRPr="002B5BA1" w:rsidRDefault="007837A0" w:rsidP="00071EC0">
      <w:pPr>
        <w:shd w:val="clear" w:color="auto" w:fill="FFFFFF"/>
        <w:spacing w:before="60" w:after="60" w:line="360" w:lineRule="exact"/>
        <w:ind w:firstLine="720"/>
        <w:rPr>
          <w:rFonts w:ascii="Times New Roman" w:eastAsia="Times New Roman" w:hAnsi="Times New Roman" w:cs="Times New Roman"/>
          <w:b/>
          <w:sz w:val="24"/>
          <w:szCs w:val="24"/>
        </w:rPr>
      </w:pPr>
      <w:r w:rsidRPr="002B5BA1">
        <w:rPr>
          <w:rFonts w:ascii="Times New Roman" w:eastAsia="Times New Roman" w:hAnsi="Times New Roman" w:cs="Times New Roman"/>
          <w:b/>
          <w:sz w:val="24"/>
          <w:szCs w:val="24"/>
        </w:rPr>
        <w:t>I. HỆ THỐNG VĂN BẢN QUY PHẠM PHÁP LUẬT LIÊN QUAN ĐẾN CHÍNH SÁCH HỖ TRỢ CẤP BẢO HIỂM Y TẾ</w:t>
      </w:r>
    </w:p>
    <w:p w:rsidR="004E24EF" w:rsidRPr="002B5BA1" w:rsidRDefault="007837A0" w:rsidP="00071EC0">
      <w:pPr>
        <w:shd w:val="clear" w:color="auto" w:fill="FFFFFF"/>
        <w:spacing w:before="60" w:after="60" w:line="360" w:lineRule="exact"/>
        <w:ind w:firstLine="720"/>
        <w:rPr>
          <w:rFonts w:ascii="Times New Roman" w:eastAsia="Times New Roman" w:hAnsi="Times New Roman" w:cs="Times New Roman"/>
          <w:b/>
          <w:sz w:val="28"/>
          <w:szCs w:val="28"/>
        </w:rPr>
      </w:pPr>
      <w:r w:rsidRPr="002B5BA1">
        <w:rPr>
          <w:rFonts w:ascii="Times New Roman" w:eastAsia="Times New Roman" w:hAnsi="Times New Roman" w:cs="Times New Roman"/>
          <w:b/>
          <w:sz w:val="28"/>
          <w:szCs w:val="28"/>
        </w:rPr>
        <w:t>1. Tên văn bản và chính sách theo Nghị quyết</w:t>
      </w:r>
    </w:p>
    <w:p w:rsidR="004E24EF" w:rsidRPr="002B5BA1" w:rsidRDefault="00071EC0" w:rsidP="00071EC0">
      <w:pPr>
        <w:spacing w:before="60" w:after="60" w:line="360" w:lineRule="exact"/>
        <w:ind w:firstLine="720"/>
        <w:rPr>
          <w:rFonts w:ascii="Times New Roman" w:hAnsi="Times New Roman"/>
          <w:b/>
          <w:sz w:val="28"/>
          <w:szCs w:val="28"/>
        </w:rPr>
      </w:pPr>
      <w:r w:rsidRPr="002B5BA1">
        <w:rPr>
          <w:rFonts w:ascii="Times New Roman" w:hAnsi="Times New Roman"/>
          <w:b/>
          <w:sz w:val="28"/>
          <w:szCs w:val="28"/>
        </w:rPr>
        <w:t>1.1</w:t>
      </w:r>
      <w:r w:rsidR="007837A0" w:rsidRPr="002B5BA1">
        <w:rPr>
          <w:rFonts w:ascii="Times New Roman" w:hAnsi="Times New Roman"/>
          <w:b/>
          <w:sz w:val="28"/>
          <w:szCs w:val="28"/>
        </w:rPr>
        <w:t>. Các văn bản của Trung ương</w:t>
      </w:r>
    </w:p>
    <w:p w:rsidR="004E24EF" w:rsidRPr="002B5BA1" w:rsidRDefault="007837A0" w:rsidP="00071EC0">
      <w:pPr>
        <w:pStyle w:val="Vnbnnidung20"/>
        <w:tabs>
          <w:tab w:val="left" w:pos="992"/>
        </w:tabs>
        <w:spacing w:before="60" w:after="60" w:line="360" w:lineRule="exact"/>
        <w:jc w:val="both"/>
        <w:rPr>
          <w:sz w:val="28"/>
          <w:szCs w:val="28"/>
        </w:rPr>
      </w:pPr>
      <w:r w:rsidRPr="002B5BA1">
        <w:rPr>
          <w:sz w:val="28"/>
          <w:szCs w:val="28"/>
        </w:rPr>
        <w:t>- Luật Tổ chức chính quyền địa phương ngày 19 tháng 6 năm 2015; Luật sửa đổi, bổ sung một số điều của Luật Tổ chức Chính phủ và Luật Tổ chức chính quyền địa phương ngày 22 tháng 11 năm 2019;</w:t>
      </w:r>
      <w:bookmarkStart w:id="1" w:name="bookmark10"/>
      <w:bookmarkEnd w:id="1"/>
    </w:p>
    <w:p w:rsidR="004E24EF" w:rsidRPr="002B5BA1" w:rsidRDefault="007837A0" w:rsidP="00071EC0">
      <w:pPr>
        <w:pStyle w:val="Vnbnnidung20"/>
        <w:tabs>
          <w:tab w:val="left" w:pos="987"/>
        </w:tabs>
        <w:spacing w:before="60" w:after="60" w:line="360" w:lineRule="exact"/>
        <w:jc w:val="both"/>
        <w:rPr>
          <w:sz w:val="28"/>
          <w:szCs w:val="28"/>
        </w:rPr>
      </w:pPr>
      <w:r w:rsidRPr="002B5BA1">
        <w:rPr>
          <w:sz w:val="28"/>
          <w:szCs w:val="28"/>
        </w:rPr>
        <w:t>- Luật Ban hành văn bản quy phạm pháp luật ngày 22 tháng 6 năm 2015; Luật sửa đổi, bổ sung một số điều của Luật Ban hành văn bản quy phạm pháp luật ngày 18 tháng 6 năm 2020;</w:t>
      </w:r>
    </w:p>
    <w:p w:rsidR="004E24EF" w:rsidRPr="002B5BA1" w:rsidRDefault="007837A0" w:rsidP="00071EC0">
      <w:pPr>
        <w:pStyle w:val="Vnbnnidung20"/>
        <w:tabs>
          <w:tab w:val="left" w:pos="987"/>
        </w:tabs>
        <w:spacing w:before="60" w:after="60" w:line="360" w:lineRule="exact"/>
        <w:jc w:val="both"/>
        <w:rPr>
          <w:sz w:val="28"/>
          <w:szCs w:val="28"/>
        </w:rPr>
      </w:pPr>
      <w:r w:rsidRPr="002B5BA1">
        <w:rPr>
          <w:sz w:val="28"/>
          <w:szCs w:val="28"/>
        </w:rPr>
        <w:t>- Luật Bảo hiểm y tế ngày 28 tháng 11 năm 2008; Luật Bảo hiểm y tế sửa đổi, bổ sung ngày 13 tháng 6 năm 2014;</w:t>
      </w:r>
    </w:p>
    <w:p w:rsidR="004E24EF" w:rsidRPr="002B5BA1" w:rsidRDefault="007837A0" w:rsidP="00071EC0">
      <w:pPr>
        <w:pStyle w:val="Vnbnnidung20"/>
        <w:tabs>
          <w:tab w:val="left" w:pos="987"/>
        </w:tabs>
        <w:spacing w:before="60" w:after="60" w:line="360" w:lineRule="exact"/>
        <w:jc w:val="both"/>
        <w:rPr>
          <w:sz w:val="28"/>
          <w:szCs w:val="28"/>
        </w:rPr>
      </w:pPr>
      <w:r w:rsidRPr="002B5BA1">
        <w:rPr>
          <w:sz w:val="28"/>
          <w:szCs w:val="28"/>
        </w:rPr>
        <w:t>- Luật Người cao tuổi ngày 23 tháng 11 năm 2009;</w:t>
      </w:r>
    </w:p>
    <w:p w:rsidR="004E24EF" w:rsidRPr="002B5BA1" w:rsidRDefault="007837A0" w:rsidP="00071EC0">
      <w:pPr>
        <w:pStyle w:val="Vnbnnidung20"/>
        <w:tabs>
          <w:tab w:val="left" w:pos="987"/>
        </w:tabs>
        <w:spacing w:before="60" w:after="60" w:line="360" w:lineRule="exact"/>
        <w:jc w:val="both"/>
        <w:rPr>
          <w:sz w:val="28"/>
          <w:szCs w:val="28"/>
        </w:rPr>
      </w:pPr>
      <w:r w:rsidRPr="002B5BA1">
        <w:rPr>
          <w:sz w:val="28"/>
          <w:szCs w:val="28"/>
        </w:rPr>
        <w:t>- Luật Ngân sách nhà nước ngày 25 tháng 6 năm 2015;</w:t>
      </w:r>
      <w:bookmarkStart w:id="2" w:name="bookmark11"/>
      <w:bookmarkEnd w:id="2"/>
    </w:p>
    <w:p w:rsidR="004E24EF" w:rsidRPr="002B5BA1" w:rsidRDefault="007837A0" w:rsidP="00071EC0">
      <w:pPr>
        <w:spacing w:before="60" w:after="60" w:line="360" w:lineRule="exact"/>
        <w:ind w:firstLine="720"/>
        <w:rPr>
          <w:rFonts w:ascii="Times New Roman" w:hAnsi="Times New Roman" w:cs="Times New Roman"/>
          <w:i/>
          <w:sz w:val="28"/>
          <w:szCs w:val="28"/>
        </w:rPr>
      </w:pPr>
      <w:r w:rsidRPr="002B5BA1">
        <w:rPr>
          <w:rFonts w:ascii="Times New Roman" w:hAnsi="Times New Roman" w:cs="Times New Roman"/>
          <w:sz w:val="28"/>
          <w:szCs w:val="28"/>
        </w:rPr>
        <w:t xml:space="preserve">Nghị quyết số 20-NQ/TW ngày 25/10/2017 của Ban Chấp hành Trung ương khóa XII về tăng cường công tác bảo vệ, chăm sóc và nâng cao sức khỏe Nhân dân trong tình hình mới, Ban chấp hành Trung ương chỉ đạo mục tiêu cụ thể: </w:t>
      </w:r>
      <w:r w:rsidRPr="002B5BA1">
        <w:rPr>
          <w:rFonts w:ascii="Times New Roman" w:hAnsi="Times New Roman" w:cs="Times New Roman"/>
          <w:i/>
          <w:sz w:val="28"/>
          <w:szCs w:val="28"/>
        </w:rPr>
        <w:t>“Phấn đấu đến năm 2025, tỷ lệ người dân có thẻ Bảo hiểm y tế là 95% dân số”;</w:t>
      </w:r>
    </w:p>
    <w:p w:rsidR="004E24EF" w:rsidRPr="002B5BA1" w:rsidRDefault="007837A0" w:rsidP="00071EC0">
      <w:pPr>
        <w:pStyle w:val="Vnbnnidung20"/>
        <w:tabs>
          <w:tab w:val="left" w:pos="1006"/>
        </w:tabs>
        <w:spacing w:before="60" w:after="60" w:line="360" w:lineRule="exact"/>
        <w:jc w:val="both"/>
        <w:rPr>
          <w:i/>
          <w:sz w:val="28"/>
          <w:szCs w:val="28"/>
        </w:rPr>
      </w:pPr>
      <w:r w:rsidRPr="002B5BA1">
        <w:rPr>
          <w:sz w:val="28"/>
          <w:szCs w:val="28"/>
        </w:rPr>
        <w:t xml:space="preserve">Nghị quyết số 45-NQ/TW ngày 24/01/2019 của Bộ Chính trị về xây dựng và phát triển thành phố Hải Phòng đến năm 2030, tầm nhìn đến năm 2045, trong đó tại phần nhiệm vụ và giải pháp có nêu </w:t>
      </w:r>
      <w:r w:rsidRPr="002B5BA1">
        <w:rPr>
          <w:i/>
          <w:sz w:val="28"/>
          <w:szCs w:val="28"/>
        </w:rPr>
        <w:t xml:space="preserve">“ Gắn phát triển kinh tế với thực hiện tiến bộ và công bằng xã hội; không ngừng nâng cao đời sống vật chất và tinh thần cho </w:t>
      </w:r>
      <w:r w:rsidR="00CD7DA5" w:rsidRPr="002B5BA1">
        <w:rPr>
          <w:i/>
          <w:sz w:val="28"/>
          <w:szCs w:val="28"/>
        </w:rPr>
        <w:t>N</w:t>
      </w:r>
      <w:r w:rsidRPr="002B5BA1">
        <w:rPr>
          <w:i/>
          <w:sz w:val="28"/>
          <w:szCs w:val="28"/>
        </w:rPr>
        <w:t>hân dân, tiến tới 100% người dân có bảo hiểm y tế”.</w:t>
      </w:r>
    </w:p>
    <w:p w:rsidR="004E24EF" w:rsidRPr="002B5BA1" w:rsidRDefault="007837A0" w:rsidP="00071EC0">
      <w:pPr>
        <w:spacing w:before="60" w:after="60" w:line="360" w:lineRule="exact"/>
        <w:ind w:firstLine="720"/>
        <w:rPr>
          <w:rFonts w:ascii="Times New Roman" w:hAnsi="Times New Roman" w:cs="Times New Roman"/>
          <w:sz w:val="28"/>
          <w:szCs w:val="28"/>
        </w:rPr>
      </w:pPr>
      <w:r w:rsidRPr="002B5BA1">
        <w:rPr>
          <w:rFonts w:ascii="Times New Roman" w:hAnsi="Times New Roman" w:cs="Times New Roman"/>
          <w:sz w:val="28"/>
          <w:szCs w:val="28"/>
        </w:rPr>
        <w:t>Quyết định số 546/QĐ-TTg ngày 29/4/2022 của Thủ tướng Chính phủ về việc giao chỉ tiêu thực hiện bao phủ BHYT giai đoạn 2022-2025;</w:t>
      </w:r>
    </w:p>
    <w:p w:rsidR="004E24EF" w:rsidRPr="002B5BA1" w:rsidRDefault="00071EC0" w:rsidP="00071EC0">
      <w:pPr>
        <w:spacing w:before="60" w:after="60" w:line="360" w:lineRule="exact"/>
        <w:ind w:firstLine="720"/>
        <w:rPr>
          <w:rFonts w:ascii="Times New Roman" w:hAnsi="Times New Roman"/>
          <w:b/>
          <w:sz w:val="28"/>
          <w:szCs w:val="28"/>
        </w:rPr>
      </w:pPr>
      <w:r w:rsidRPr="002B5BA1">
        <w:rPr>
          <w:rFonts w:ascii="Times New Roman" w:hAnsi="Times New Roman"/>
          <w:b/>
          <w:sz w:val="28"/>
          <w:szCs w:val="28"/>
        </w:rPr>
        <w:t>1.2</w:t>
      </w:r>
      <w:r w:rsidR="007837A0" w:rsidRPr="002B5BA1">
        <w:rPr>
          <w:rFonts w:ascii="Times New Roman" w:hAnsi="Times New Roman"/>
          <w:b/>
          <w:sz w:val="28"/>
          <w:szCs w:val="28"/>
        </w:rPr>
        <w:t>. Các văn bản của thành phố</w:t>
      </w:r>
    </w:p>
    <w:p w:rsidR="004E24EF" w:rsidRPr="002B5BA1" w:rsidRDefault="007837A0" w:rsidP="00071EC0">
      <w:pPr>
        <w:pStyle w:val="Vnbnnidung20"/>
        <w:tabs>
          <w:tab w:val="left" w:pos="1002"/>
        </w:tabs>
        <w:spacing w:before="60" w:after="60" w:line="360" w:lineRule="exact"/>
        <w:jc w:val="both"/>
        <w:rPr>
          <w:sz w:val="28"/>
          <w:szCs w:val="28"/>
        </w:rPr>
      </w:pPr>
      <w:r w:rsidRPr="002B5BA1">
        <w:rPr>
          <w:rStyle w:val="Emphasis"/>
          <w:i w:val="0"/>
          <w:sz w:val="28"/>
          <w:szCs w:val="28"/>
        </w:rPr>
        <w:lastRenderedPageBreak/>
        <w:t xml:space="preserve">- Nghị quyết Đại hội Đảng bộ thành phố lần thứ XVI, nhiệm kỳ 2020 - 2025, có nêu mục tiêu: </w:t>
      </w:r>
      <w:r w:rsidRPr="002B5BA1">
        <w:rPr>
          <w:rStyle w:val="Emphasis"/>
          <w:sz w:val="28"/>
          <w:szCs w:val="28"/>
        </w:rPr>
        <w:t>“đời sống vật chất và tinh thần của Nhân dân được nâng cao”. “</w:t>
      </w:r>
      <w:r w:rsidRPr="002B5BA1">
        <w:rPr>
          <w:i/>
          <w:sz w:val="28"/>
          <w:szCs w:val="28"/>
        </w:rPr>
        <w:t>Tiếp tục thực hiện thật tốt chủ trương đầu tư cho an sinh xã hội phải đi trước so với tốc độ phát triển kinh tế. Đến năm 2025 không còn hộ nghèo theo chuẩn quốc gia, tỷ lệ người dân tham gia bảo hiểm y tế đạt trên 95%</w:t>
      </w:r>
      <w:r w:rsidR="00071EC0" w:rsidRPr="002B5BA1">
        <w:rPr>
          <w:sz w:val="28"/>
          <w:szCs w:val="28"/>
        </w:rPr>
        <w:t>”;</w:t>
      </w:r>
    </w:p>
    <w:p w:rsidR="004E24EF" w:rsidRPr="002B5BA1" w:rsidRDefault="007837A0" w:rsidP="00071EC0">
      <w:pPr>
        <w:tabs>
          <w:tab w:val="left" w:pos="709"/>
          <w:tab w:val="left" w:pos="993"/>
        </w:tabs>
        <w:spacing w:before="60" w:after="60" w:line="360" w:lineRule="exact"/>
        <w:ind w:firstLine="720"/>
        <w:rPr>
          <w:rFonts w:ascii="Times New Roman" w:hAnsi="Times New Roman"/>
          <w:i/>
          <w:sz w:val="28"/>
          <w:szCs w:val="28"/>
        </w:rPr>
      </w:pPr>
      <w:r w:rsidRPr="002B5BA1">
        <w:rPr>
          <w:rFonts w:ascii="Times New Roman" w:hAnsi="Times New Roman"/>
          <w:sz w:val="28"/>
          <w:szCs w:val="28"/>
        </w:rPr>
        <w:t>- Nghị quyết số 53/2019/NQ-HĐND ngày 09/12/2019 của Hội đồng nhân dân thành phố về nâng mức chuẩn trợ giúp xã hội và một số chính sách trợ giúp xã hội trên địa bàn thành phố Hải Phòng giai đoạn 2020 - 2025. Trong đó có “</w:t>
      </w:r>
      <w:r w:rsidRPr="002B5BA1">
        <w:rPr>
          <w:rFonts w:ascii="Times New Roman" w:hAnsi="Times New Roman"/>
          <w:i/>
          <w:sz w:val="28"/>
          <w:szCs w:val="28"/>
        </w:rPr>
        <w:t>Người cao tuổi từ đủ 75 tuổi đến 80 tuổi không có lương hưu, không có trợ cấp Nhà nước, có hộ khẩu thường trú ở vùng núi, vùng hải đảo thuộc thành phố Hải Phòng được cấp thẻ bảo hiểm y tế miễn phí, hưởng trợ cấp hàng tháng, trợ cấ</w:t>
      </w:r>
      <w:r w:rsidR="00071EC0" w:rsidRPr="002B5BA1">
        <w:rPr>
          <w:rFonts w:ascii="Times New Roman" w:hAnsi="Times New Roman"/>
          <w:i/>
          <w:sz w:val="28"/>
          <w:szCs w:val="28"/>
        </w:rPr>
        <w:t>p mai táng phí”;</w:t>
      </w:r>
    </w:p>
    <w:p w:rsidR="004E24EF" w:rsidRPr="002B5BA1" w:rsidRDefault="007837A0" w:rsidP="00071EC0">
      <w:pPr>
        <w:spacing w:before="60" w:after="60" w:line="360" w:lineRule="exact"/>
        <w:ind w:firstLine="720"/>
        <w:rPr>
          <w:rFonts w:ascii="Times New Roman" w:hAnsi="Times New Roman"/>
          <w:i/>
          <w:sz w:val="28"/>
          <w:szCs w:val="28"/>
        </w:rPr>
      </w:pPr>
      <w:r w:rsidRPr="002B5BA1">
        <w:rPr>
          <w:rFonts w:ascii="Times New Roman" w:hAnsi="Times New Roman"/>
          <w:sz w:val="28"/>
          <w:szCs w:val="28"/>
        </w:rPr>
        <w:t>- Nghị quyết số 11/2022/NQ-HĐND ngày 09/12/2022 của Hội đồng nhân dân thành phố quy định chính sách hỗ trợ đóng bảo hiểm y tế cho các nhóm đối tượng xã hội trên địa bàn thành phố Hải Phòng. Trong đó có</w:t>
      </w:r>
      <w:r w:rsidRPr="002B5BA1">
        <w:rPr>
          <w:rFonts w:ascii="Times New Roman" w:hAnsi="Times New Roman"/>
          <w:i/>
          <w:sz w:val="28"/>
          <w:szCs w:val="28"/>
        </w:rPr>
        <w:t xml:space="preserve"> “Người cao tuổi từ 70 - 79 tuổi không có lương hưu, không có trợ cấp xã hội…chưa được cấp thẻ bảo hiểm y tế miễn phí…Ngân sách thành phố hỗ trợ: 100% mức đóng bảo hiểm y tế.”</w:t>
      </w:r>
      <w:r w:rsidR="00071EC0" w:rsidRPr="002B5BA1">
        <w:rPr>
          <w:rFonts w:ascii="Times New Roman" w:hAnsi="Times New Roman"/>
          <w:i/>
          <w:sz w:val="28"/>
          <w:szCs w:val="28"/>
        </w:rPr>
        <w:t>;</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 xml:space="preserve">- </w:t>
      </w:r>
      <w:r w:rsidRPr="002B5BA1">
        <w:rPr>
          <w:bCs/>
          <w:sz w:val="28"/>
          <w:szCs w:val="28"/>
        </w:rPr>
        <w:t>Nghị quyết số 53/NQ-HĐND ngày 08/12/2023 về Kế hoạch tổ chức các kỳ họp thường lệ năm 2024 của Hội đồng nhân dân thành phố khóa XVI, nhiệm kỳ 2021 – 2026, trong đó kỳ họp thường lệ giữa năm 2024 dự kiến ban hành “</w:t>
      </w:r>
      <w:r w:rsidRPr="002B5BA1">
        <w:rPr>
          <w:bCs/>
          <w:i/>
          <w:sz w:val="28"/>
          <w:szCs w:val="28"/>
        </w:rPr>
        <w:t>Chính sách hỗ trợ cấp thẻ Bảo hiểm y tế cho người từ 60-69 tuổi không có lương hưu, không có trợ cấp xã hội”;</w:t>
      </w:r>
    </w:p>
    <w:p w:rsidR="004E24EF" w:rsidRPr="002B5BA1" w:rsidRDefault="007837A0" w:rsidP="00071EC0">
      <w:pPr>
        <w:shd w:val="clear" w:color="auto" w:fill="FFFFFF"/>
        <w:spacing w:before="60" w:after="60" w:line="360" w:lineRule="exact"/>
        <w:ind w:firstLine="720"/>
        <w:outlineLvl w:val="1"/>
        <w:rPr>
          <w:rFonts w:ascii="Times New Roman" w:hAnsi="Times New Roman" w:cs="Times New Roman"/>
          <w:bCs/>
          <w:sz w:val="28"/>
          <w:szCs w:val="28"/>
        </w:rPr>
      </w:pPr>
      <w:r w:rsidRPr="002B5BA1">
        <w:rPr>
          <w:rFonts w:ascii="Times New Roman" w:hAnsi="Times New Roman" w:cs="Times New Roman"/>
          <w:bCs/>
          <w:sz w:val="28"/>
          <w:szCs w:val="28"/>
        </w:rPr>
        <w:t>- Quyết định số 1881/QĐ-UBND ngày 05/7/2021</w:t>
      </w:r>
      <w:r w:rsidR="00071EC0" w:rsidRPr="002B5BA1">
        <w:rPr>
          <w:rFonts w:ascii="Times New Roman" w:hAnsi="Times New Roman" w:cs="Times New Roman"/>
          <w:bCs/>
          <w:sz w:val="28"/>
          <w:szCs w:val="28"/>
        </w:rPr>
        <w:t xml:space="preserve"> </w:t>
      </w:r>
      <w:r w:rsidR="00071EC0" w:rsidRPr="002B5BA1">
        <w:rPr>
          <w:rFonts w:ascii="Times New Roman" w:hAnsi="Times New Roman"/>
          <w:sz w:val="28"/>
          <w:szCs w:val="28"/>
        </w:rPr>
        <w:t>của Ủy ban nhân dân thành phố</w:t>
      </w:r>
      <w:r w:rsidRPr="002B5BA1">
        <w:rPr>
          <w:rFonts w:ascii="Times New Roman" w:hAnsi="Times New Roman" w:cs="Times New Roman"/>
          <w:bCs/>
          <w:sz w:val="28"/>
          <w:szCs w:val="28"/>
        </w:rPr>
        <w:t xml:space="preserve"> về giao tỷ lệ thực hiện bảo hiểm y tế giai đoạ</w:t>
      </w:r>
      <w:r w:rsidR="00071EC0" w:rsidRPr="002B5BA1">
        <w:rPr>
          <w:rFonts w:ascii="Times New Roman" w:hAnsi="Times New Roman" w:cs="Times New Roman"/>
          <w:bCs/>
          <w:sz w:val="28"/>
          <w:szCs w:val="28"/>
        </w:rPr>
        <w:t xml:space="preserve">n </w:t>
      </w:r>
      <w:r w:rsidRPr="002B5BA1">
        <w:rPr>
          <w:rFonts w:ascii="Times New Roman" w:hAnsi="Times New Roman" w:cs="Times New Roman"/>
          <w:bCs/>
          <w:sz w:val="28"/>
          <w:szCs w:val="28"/>
        </w:rPr>
        <w:t>2021 – 2025 trên địa bàn thành phố</w:t>
      </w:r>
      <w:r w:rsidR="00071EC0" w:rsidRPr="002B5BA1">
        <w:rPr>
          <w:rFonts w:ascii="Times New Roman" w:hAnsi="Times New Roman" w:cs="Times New Roman"/>
          <w:bCs/>
          <w:sz w:val="28"/>
          <w:szCs w:val="28"/>
        </w:rPr>
        <w:t>;</w:t>
      </w:r>
    </w:p>
    <w:p w:rsidR="004E24EF" w:rsidRPr="002B5BA1" w:rsidRDefault="007837A0" w:rsidP="00071EC0">
      <w:pPr>
        <w:shd w:val="clear" w:color="auto" w:fill="FFFFFF"/>
        <w:spacing w:before="60" w:after="60" w:line="360" w:lineRule="exact"/>
        <w:ind w:firstLine="720"/>
        <w:outlineLvl w:val="1"/>
        <w:rPr>
          <w:rFonts w:ascii="Times New Roman" w:hAnsi="Times New Roman" w:cs="Times New Roman"/>
          <w:bCs/>
          <w:i/>
          <w:sz w:val="28"/>
          <w:szCs w:val="28"/>
        </w:rPr>
      </w:pPr>
      <w:r w:rsidRPr="002B5BA1">
        <w:rPr>
          <w:rFonts w:ascii="Times New Roman" w:hAnsi="Times New Roman" w:cs="Times New Roman"/>
          <w:bCs/>
          <w:sz w:val="28"/>
          <w:szCs w:val="28"/>
        </w:rPr>
        <w:t xml:space="preserve">Công văn số 3285/UBND-TH ngày 29/12/2023 </w:t>
      </w:r>
      <w:r w:rsidR="00071EC0" w:rsidRPr="002B5BA1">
        <w:rPr>
          <w:rFonts w:ascii="Times New Roman" w:hAnsi="Times New Roman"/>
          <w:sz w:val="28"/>
          <w:szCs w:val="28"/>
        </w:rPr>
        <w:t>Ủy ban nhân dân thành phố</w:t>
      </w:r>
      <w:r w:rsidR="00071EC0" w:rsidRPr="002B5BA1">
        <w:rPr>
          <w:rFonts w:ascii="Times New Roman" w:hAnsi="Times New Roman" w:cs="Times New Roman"/>
          <w:bCs/>
          <w:sz w:val="28"/>
          <w:szCs w:val="28"/>
        </w:rPr>
        <w:t xml:space="preserve"> </w:t>
      </w:r>
      <w:r w:rsidRPr="002B5BA1">
        <w:rPr>
          <w:rFonts w:ascii="Times New Roman" w:hAnsi="Times New Roman" w:cs="Times New Roman"/>
          <w:bCs/>
          <w:sz w:val="28"/>
          <w:szCs w:val="28"/>
        </w:rPr>
        <w:t xml:space="preserve">về việc triển khai Nghị quyết của Hội đồng nhân dân thành phố và Kế hoạch tổ chức các kỳ họp thường lệ năm 2024, trong đó có giao </w:t>
      </w:r>
      <w:r w:rsidRPr="002B5BA1">
        <w:rPr>
          <w:rFonts w:ascii="Times New Roman" w:hAnsi="Times New Roman" w:cs="Times New Roman"/>
          <w:bCs/>
          <w:i/>
          <w:sz w:val="28"/>
          <w:szCs w:val="28"/>
        </w:rPr>
        <w:t>“Sở Lao động – Thương binh và Xã hội chuẩn bị Hồ sơ Nghị quyết về chính sách hỗ trợ cấp thẻ bảo hiểm y tế cho người 60-69 tuổi không có lương hưu, không có trợ cấp xã hộ</w:t>
      </w:r>
      <w:r w:rsidR="00071EC0" w:rsidRPr="002B5BA1">
        <w:rPr>
          <w:rFonts w:ascii="Times New Roman" w:hAnsi="Times New Roman" w:cs="Times New Roman"/>
          <w:bCs/>
          <w:i/>
          <w:sz w:val="28"/>
          <w:szCs w:val="28"/>
        </w:rPr>
        <w:t>i”.</w:t>
      </w:r>
    </w:p>
    <w:p w:rsidR="004E24EF" w:rsidRPr="002B5BA1" w:rsidRDefault="007837A0" w:rsidP="00071EC0">
      <w:pPr>
        <w:pStyle w:val="Vnbnnidung20"/>
        <w:tabs>
          <w:tab w:val="left" w:pos="1002"/>
        </w:tabs>
        <w:spacing w:before="60" w:after="60" w:line="360" w:lineRule="exact"/>
        <w:jc w:val="both"/>
        <w:rPr>
          <w:b/>
          <w:sz w:val="28"/>
          <w:szCs w:val="28"/>
        </w:rPr>
      </w:pPr>
      <w:r w:rsidRPr="002B5BA1">
        <w:rPr>
          <w:b/>
          <w:sz w:val="28"/>
          <w:szCs w:val="28"/>
        </w:rPr>
        <w:t>2. Đánh giá ưu điểm, hạn chế của hệ thống văn bản</w:t>
      </w:r>
    </w:p>
    <w:p w:rsidR="004E24EF" w:rsidRPr="002B5BA1" w:rsidRDefault="007837A0" w:rsidP="00071EC0">
      <w:pPr>
        <w:pStyle w:val="Vnbnnidung20"/>
        <w:tabs>
          <w:tab w:val="left" w:pos="1002"/>
        </w:tabs>
        <w:spacing w:before="60" w:after="60" w:line="360" w:lineRule="exact"/>
        <w:jc w:val="both"/>
        <w:rPr>
          <w:b/>
          <w:sz w:val="28"/>
          <w:szCs w:val="28"/>
        </w:rPr>
      </w:pPr>
      <w:r w:rsidRPr="002B5BA1">
        <w:rPr>
          <w:b/>
          <w:sz w:val="28"/>
          <w:szCs w:val="28"/>
        </w:rPr>
        <w:t>2.1. Ưu điểm</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 xml:space="preserve">Bảo hiểm y tế là một trong những chính sách lớn của Đảng và Nhà nước trong việc thực hiện an sinh xã hội, đảm bảo công bằng xã hội trong khám, chữa bệnh và chăm sóc sức khoẻ nhân dân; ngay sau khi Luật Bảo hiểm xã hội; Luật người cao tuổi đã được Quốc hội thông qua, Thành uỷ, Hội đồng nhân nhân dân, Uỷ ban nhân dân thành phố Hải Phòng đã tăng cường công tác lãnh đạo chỉ đạo </w:t>
      </w:r>
      <w:r w:rsidRPr="002B5BA1">
        <w:rPr>
          <w:sz w:val="28"/>
          <w:szCs w:val="28"/>
        </w:rPr>
        <w:lastRenderedPageBreak/>
        <w:t>và tổ chức tuyên truyền thực hiện các Luật và các văn bản hướng dẫn thi hành Luật trên địa bàn thành phố; chỉ đạo, kiểm tra, đôn đốc các sở, ngành, Uỷ ban nhân dân các quận, huyện và đơn vị có liên quan triển khai thực hiện có hiệu quả công tác phát triển và mở rộng diện bao phủ bảo hiểm y tế toàn dân; công tác chăm sóc sức khoẻ cho người cao tuổi; định kỳ tổ chức sơ kết, đánh giá tình hình, kết quả thực hiện công tác phát triển đối tượng tham gia bảo hiểm y tế và công tác chăm sóc người cao tuổi góp phần đưa Luật đi vào cuộc sống.</w:t>
      </w:r>
    </w:p>
    <w:p w:rsidR="004E24EF" w:rsidRPr="002B5BA1" w:rsidRDefault="007837A0" w:rsidP="00071EC0">
      <w:pPr>
        <w:pStyle w:val="Vnbnnidung20"/>
        <w:tabs>
          <w:tab w:val="left" w:pos="1002"/>
        </w:tabs>
        <w:spacing w:before="60" w:after="60" w:line="360" w:lineRule="exact"/>
        <w:jc w:val="both"/>
        <w:rPr>
          <w:b/>
          <w:sz w:val="28"/>
          <w:szCs w:val="28"/>
        </w:rPr>
      </w:pPr>
      <w:r w:rsidRPr="002B5BA1">
        <w:rPr>
          <w:b/>
          <w:sz w:val="28"/>
          <w:szCs w:val="28"/>
        </w:rPr>
        <w:t>2.2. Hạn chế</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 xml:space="preserve">Công tác tuyên truyền chưa đạt </w:t>
      </w:r>
      <w:r w:rsidR="00643A8A" w:rsidRPr="002B5BA1">
        <w:rPr>
          <w:sz w:val="28"/>
          <w:szCs w:val="28"/>
        </w:rPr>
        <w:t>hiệu quả cao</w:t>
      </w:r>
      <w:r w:rsidRPr="002B5BA1">
        <w:rPr>
          <w:sz w:val="28"/>
          <w:szCs w:val="28"/>
        </w:rPr>
        <w:t xml:space="preserve">, người dân nói chung và các đối tượng yếu thế, người cao tuổi nói riêng vẫn thiếu thông tin về chính sách bảo hiểm y tế, về quyền lợi khi tham gia bảo hiểm y tế, về </w:t>
      </w:r>
      <w:r w:rsidR="00C11015" w:rsidRPr="002B5BA1">
        <w:rPr>
          <w:sz w:val="28"/>
          <w:szCs w:val="28"/>
        </w:rPr>
        <w:t xml:space="preserve">địa chỉ, </w:t>
      </w:r>
      <w:r w:rsidR="002B03B7" w:rsidRPr="002B5BA1">
        <w:rPr>
          <w:sz w:val="28"/>
          <w:szCs w:val="28"/>
        </w:rPr>
        <w:t>đại lý thu bảo hiểm y tế</w:t>
      </w:r>
      <w:r w:rsidR="00643A8A" w:rsidRPr="002B5BA1">
        <w:rPr>
          <w:sz w:val="28"/>
          <w:szCs w:val="28"/>
        </w:rPr>
        <w:t>;</w:t>
      </w:r>
      <w:r w:rsidRPr="002B5BA1">
        <w:rPr>
          <w:sz w:val="28"/>
          <w:szCs w:val="28"/>
        </w:rPr>
        <w:t xml:space="preserve"> chưa thấy h</w:t>
      </w:r>
      <w:r w:rsidR="00643A8A" w:rsidRPr="002B5BA1">
        <w:rPr>
          <w:sz w:val="28"/>
          <w:szCs w:val="28"/>
        </w:rPr>
        <w:t>ết được ý nghĩa, tầm quan trọng và</w:t>
      </w:r>
      <w:r w:rsidRPr="002B5BA1">
        <w:rPr>
          <w:sz w:val="28"/>
          <w:szCs w:val="28"/>
        </w:rPr>
        <w:t xml:space="preserve"> trách nhiệm khi tham </w:t>
      </w:r>
      <w:r w:rsidR="00643A8A" w:rsidRPr="002B5BA1">
        <w:rPr>
          <w:sz w:val="28"/>
          <w:szCs w:val="28"/>
        </w:rPr>
        <w:t xml:space="preserve">gia </w:t>
      </w:r>
      <w:r w:rsidRPr="002B5BA1">
        <w:rPr>
          <w:sz w:val="28"/>
          <w:szCs w:val="28"/>
        </w:rPr>
        <w:t>bảo hiểm y tế.</w:t>
      </w:r>
    </w:p>
    <w:p w:rsidR="004E24EF" w:rsidRPr="002B5BA1" w:rsidRDefault="007837A0" w:rsidP="00071EC0">
      <w:pPr>
        <w:tabs>
          <w:tab w:val="left" w:pos="709"/>
          <w:tab w:val="left" w:pos="993"/>
        </w:tabs>
        <w:spacing w:before="60" w:after="60" w:line="360" w:lineRule="exact"/>
        <w:ind w:firstLine="720"/>
        <w:rPr>
          <w:rFonts w:ascii="Times New Roman" w:hAnsi="Times New Roman"/>
          <w:sz w:val="28"/>
          <w:szCs w:val="28"/>
        </w:rPr>
      </w:pPr>
      <w:r w:rsidRPr="002B5BA1">
        <w:rPr>
          <w:rFonts w:ascii="Times New Roman" w:hAnsi="Times New Roman"/>
          <w:sz w:val="28"/>
          <w:szCs w:val="28"/>
        </w:rPr>
        <w:t xml:space="preserve">Từ năm 2019 đến năm 2023, số người cao tuổi hưởng lương hưu và trợ cấp bảo hiểm xã hội được cấp thẻ bảo hiểm y tế có xu hướng tăng nhẹ. Tuy nhiên số lượng người cao tuổi từ 60- 69 tuổi không có lương hưu, không có trợ cấp xã hội hàng tháng chưa tham gia bảo hiểm y tế còn tương đối nhiều. Do ảnh hưởng của đại dịch Covid – 19, sự thay đổi về chính sách tiền lương cơ sở (mức lương cơ sở từ ngày 01/7/2023 tăng từ 1.490.000 đồng lên 1.800.000 đồng) gây khó khăn cho người tham gia bảo hiểm y tế tự đóng (đặc biệt người cao tuổi từ 60 – 69 tuổi không có lương hưu, không có trợ cấp xã hội hàng tháng). </w:t>
      </w:r>
    </w:p>
    <w:p w:rsidR="00A51421" w:rsidRPr="002B5BA1" w:rsidRDefault="007837A0" w:rsidP="00A51421">
      <w:pPr>
        <w:shd w:val="clear" w:color="auto" w:fill="FFFFFF"/>
        <w:spacing w:before="60" w:after="60" w:line="360" w:lineRule="exact"/>
        <w:ind w:firstLine="720"/>
        <w:rPr>
          <w:rFonts w:ascii="Times New Roman" w:hAnsi="Times New Roman"/>
          <w:sz w:val="28"/>
          <w:szCs w:val="28"/>
        </w:rPr>
      </w:pPr>
      <w:r w:rsidRPr="002B5BA1">
        <w:rPr>
          <w:rFonts w:ascii="Times New Roman" w:hAnsi="Times New Roman"/>
          <w:bCs/>
          <w:spacing w:val="2"/>
          <w:sz w:val="28"/>
          <w:szCs w:val="28"/>
          <w:lang w:val="nl-NL"/>
        </w:rPr>
        <w:t xml:space="preserve">Người cao tuổi từ 60 tuổi - 69 tuổi </w:t>
      </w:r>
      <w:r w:rsidRPr="002B5BA1">
        <w:rPr>
          <w:rFonts w:ascii="Times New Roman" w:hAnsi="Times New Roman"/>
          <w:sz w:val="28"/>
          <w:szCs w:val="28"/>
        </w:rPr>
        <w:t>không có lương hưu, không có trợ cấp xã hội hàng tháng chưa được cấp thẻ bảo hiểm y tế miễn phí đã hết độ tuổi lao động, không có thu nhập, hay ốm yếu do tuổi đã cao nên gặp khó khăn về tài chính cần được hỗ trợ cấp thẻ bảo hiểm y tế miễn phí, thể hiện chính sách nhân văn của Nhà nước đối với công tác chăm sóc sức khỏe đối với Nhân dân nói chung, người cao tuổi nói riêng và là chính sách thiết thực, cần thiết cho đối tượng.</w:t>
      </w:r>
    </w:p>
    <w:p w:rsidR="00A51421" w:rsidRPr="002B5BA1" w:rsidRDefault="00A51421" w:rsidP="00A51421">
      <w:pPr>
        <w:shd w:val="clear" w:color="auto" w:fill="FFFFFF"/>
        <w:spacing w:before="60" w:after="60" w:line="360" w:lineRule="exact"/>
        <w:ind w:firstLine="720"/>
        <w:rPr>
          <w:rFonts w:ascii="Times New Roman" w:hAnsi="Times New Roman"/>
          <w:sz w:val="28"/>
          <w:szCs w:val="28"/>
        </w:rPr>
      </w:pPr>
      <w:r w:rsidRPr="002B5BA1">
        <w:rPr>
          <w:rFonts w:ascii="Times New Roman" w:hAnsi="Times New Roman"/>
          <w:sz w:val="28"/>
          <w:szCs w:val="28"/>
        </w:rPr>
        <w:t>Một số hoạt động nâng cao đời sống tinh thần người cao tuổi chủ yếu dựa vào nguồn xã hội hoá (văn hoá văn nghệ, thể dục thể thao, vui chơi, giải trí, thư giãn); đầu tư cơ sở vật chất kỹ thuật của hệ thống dịch vụ chăm sóc về y tế chưa đáp ứng nhu cầu, chưa thành lập được các Khoa lão khoa tại các bệnh viện tuyến quận, huyện…cũng là những yếu tố gây bất lợi cho việc thụ hưởng chính sách của người cao tuổi.</w:t>
      </w:r>
    </w:p>
    <w:p w:rsidR="004E24EF" w:rsidRPr="002B5BA1" w:rsidRDefault="007837A0" w:rsidP="00071EC0">
      <w:pPr>
        <w:pStyle w:val="NormalWeb"/>
        <w:shd w:val="clear" w:color="auto" w:fill="FFFFFF"/>
        <w:spacing w:before="60" w:beforeAutospacing="0" w:after="60" w:afterAutospacing="0" w:line="360" w:lineRule="exact"/>
        <w:ind w:firstLine="720"/>
        <w:jc w:val="both"/>
        <w:rPr>
          <w:b/>
        </w:rPr>
      </w:pPr>
      <w:r w:rsidRPr="002B5BA1">
        <w:rPr>
          <w:b/>
        </w:rPr>
        <w:t>II. ĐÁNH GIÁ TÌNH HÌNH THI HÀNH PHÁP LUẬT VỀ BẢO HIỂM Y TẾ</w:t>
      </w:r>
    </w:p>
    <w:p w:rsidR="004E24EF" w:rsidRPr="002B5BA1" w:rsidRDefault="007837A0" w:rsidP="00071EC0">
      <w:pPr>
        <w:pStyle w:val="NormalWeb"/>
        <w:shd w:val="clear" w:color="auto" w:fill="FFFFFF"/>
        <w:spacing w:before="60" w:beforeAutospacing="0" w:after="60" w:afterAutospacing="0" w:line="360" w:lineRule="exact"/>
        <w:ind w:firstLine="720"/>
        <w:jc w:val="both"/>
        <w:rPr>
          <w:b/>
          <w:sz w:val="28"/>
          <w:szCs w:val="28"/>
        </w:rPr>
      </w:pPr>
      <w:r w:rsidRPr="002B5BA1">
        <w:rPr>
          <w:b/>
          <w:sz w:val="28"/>
          <w:szCs w:val="28"/>
        </w:rPr>
        <w:t>1. Công tác chỉ đạo</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 xml:space="preserve">Xác định bảo hiểm y tế là một trong những chính sách lớn của Đảng và Nhà nước trong việc thực hiện an sinh xã hội, đảm bảo công bằng xã hội trong việc khám, chữa bệnh và chăm sóc sức khỏe cho nhân dân, Thành ủy, Hội đồng </w:t>
      </w:r>
      <w:r w:rsidRPr="002B5BA1">
        <w:rPr>
          <w:sz w:val="28"/>
          <w:szCs w:val="28"/>
        </w:rPr>
        <w:lastRenderedPageBreak/>
        <w:t>nhân dân, Ủy ban nhân dân thành phố ban hành nhiều văn bản chỉ đạo về công tác bảo hiểm y tế cụ thể:</w:t>
      </w:r>
    </w:p>
    <w:p w:rsidR="004E24EF" w:rsidRPr="002B5BA1" w:rsidRDefault="007837A0" w:rsidP="00071EC0">
      <w:pPr>
        <w:pStyle w:val="Vnbnnidung20"/>
        <w:tabs>
          <w:tab w:val="left" w:pos="1002"/>
        </w:tabs>
        <w:spacing w:before="60" w:after="60" w:line="360" w:lineRule="exact"/>
        <w:jc w:val="both"/>
        <w:rPr>
          <w:i/>
          <w:sz w:val="28"/>
          <w:szCs w:val="28"/>
        </w:rPr>
      </w:pPr>
      <w:r w:rsidRPr="002B5BA1">
        <w:rPr>
          <w:rStyle w:val="Emphasis"/>
          <w:i w:val="0"/>
          <w:sz w:val="28"/>
          <w:szCs w:val="28"/>
        </w:rPr>
        <w:t xml:space="preserve">- Nghị quyết Đại hội Đảng bộ thành phố lần thứ XVI, nhiệm kỳ 2020 - 2025, có nêu mục tiêu: </w:t>
      </w:r>
      <w:r w:rsidRPr="002B5BA1">
        <w:rPr>
          <w:rStyle w:val="Emphasis"/>
          <w:sz w:val="28"/>
          <w:szCs w:val="28"/>
        </w:rPr>
        <w:t xml:space="preserve">“đời sống vật chất và tinh thần của Nhân dân được nâng cao”. </w:t>
      </w:r>
      <w:r w:rsidRPr="002B5BA1">
        <w:rPr>
          <w:rStyle w:val="Emphasis"/>
          <w:i w:val="0"/>
          <w:sz w:val="28"/>
          <w:szCs w:val="28"/>
        </w:rPr>
        <w:t>“</w:t>
      </w:r>
      <w:r w:rsidRPr="002B5BA1">
        <w:rPr>
          <w:i/>
          <w:sz w:val="28"/>
          <w:szCs w:val="28"/>
        </w:rPr>
        <w:t xml:space="preserve">Tiếp tục thực hiện thật tốt chủ trương đầu tư cho an sinh xã hội phải đi trước so với tốc độ phát triển kinh tế. Đến năm 2025 không còn hộ nghèo theo chuẩn quốc gia, tỷ lệ người dân tham </w:t>
      </w:r>
      <w:r w:rsidR="00071EC0" w:rsidRPr="002B5BA1">
        <w:rPr>
          <w:i/>
          <w:sz w:val="28"/>
          <w:szCs w:val="28"/>
        </w:rPr>
        <w:t>gia bảo hiểm y tế đạt trên 95%”;</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 Chương trình hành động số 50-Ctr/TU ngày 10/01/2018 của Ban Thường vụ Thành uỷ thực hiện Nghị quyết số 20-NQ/TW ngày 25/10/2017 của Ban Chấp hành Trung ương Đảng khoá XII về tăng cường công tác bảo vệ, chăm sóc và nâng cao sức kh</w:t>
      </w:r>
      <w:r w:rsidR="00071EC0" w:rsidRPr="002B5BA1">
        <w:rPr>
          <w:sz w:val="28"/>
          <w:szCs w:val="28"/>
        </w:rPr>
        <w:t>oẻ nhân dân trong tình hình mới;</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 xml:space="preserve">- Nghị quyết số 04/2022/NQ-HĐND ngày 20/7/2022 </w:t>
      </w:r>
      <w:r w:rsidR="00071EC0" w:rsidRPr="002B5BA1">
        <w:rPr>
          <w:sz w:val="28"/>
          <w:szCs w:val="28"/>
        </w:rPr>
        <w:t xml:space="preserve">của Hội đồng nhân dân thành phố </w:t>
      </w:r>
      <w:r w:rsidRPr="002B5BA1">
        <w:rPr>
          <w:sz w:val="28"/>
          <w:szCs w:val="28"/>
        </w:rPr>
        <w:t>quy định một số chính sách đặc thù hỗ trợ  người thuộc hộ nghèo, hộ cận nghèo, hộ mới thoát nghèo giai đoạn 2022-2025 tr</w:t>
      </w:r>
      <w:r w:rsidR="00071EC0" w:rsidRPr="002B5BA1">
        <w:rPr>
          <w:sz w:val="28"/>
          <w:szCs w:val="28"/>
        </w:rPr>
        <w:t>ên địa bàn thành phố Hải Phòng;</w:t>
      </w:r>
    </w:p>
    <w:p w:rsidR="004E24EF" w:rsidRPr="002B5BA1" w:rsidRDefault="007837A0" w:rsidP="00071EC0">
      <w:pPr>
        <w:tabs>
          <w:tab w:val="left" w:pos="709"/>
          <w:tab w:val="left" w:pos="993"/>
        </w:tabs>
        <w:spacing w:before="60" w:after="60" w:line="360" w:lineRule="exact"/>
        <w:ind w:firstLine="720"/>
        <w:rPr>
          <w:rFonts w:ascii="Times New Roman" w:hAnsi="Times New Roman" w:cs="Times New Roman"/>
          <w:i/>
          <w:sz w:val="28"/>
          <w:szCs w:val="28"/>
        </w:rPr>
      </w:pPr>
      <w:r w:rsidRPr="002B5BA1">
        <w:rPr>
          <w:rFonts w:ascii="Times New Roman" w:hAnsi="Times New Roman" w:cs="Times New Roman"/>
          <w:sz w:val="28"/>
          <w:szCs w:val="28"/>
        </w:rPr>
        <w:t>- Nghị quyết số 53/2019/NQ-HĐND ngày 09/12/2019 của Hội đồng nhân dân thành phố về nâng mức chuẩn trợ giúp xã hội và một số chính sách trợ giúp xã hội trên địa bàn thành phố Hải Phòng giai đoạn 2020 - 2025. Trong đó có “</w:t>
      </w:r>
      <w:r w:rsidRPr="002B5BA1">
        <w:rPr>
          <w:rFonts w:ascii="Times New Roman" w:hAnsi="Times New Roman" w:cs="Times New Roman"/>
          <w:i/>
          <w:sz w:val="28"/>
          <w:szCs w:val="28"/>
        </w:rPr>
        <w:t>Người cao tuổi từ đủ 75 tuổi đến 80 tuổi không có lương hưu, không có trợ cấp Nhà nước, có hộ khẩu thường trú ở vùng núi, vùng hải đảo thuộc thành phố Hải Phòng được cấp thẻ bảo hiểm y tế miễn phí, hưởng trợ cấp hàng tháng, trợ cấ</w:t>
      </w:r>
      <w:r w:rsidR="00071EC0" w:rsidRPr="002B5BA1">
        <w:rPr>
          <w:rFonts w:ascii="Times New Roman" w:hAnsi="Times New Roman" w:cs="Times New Roman"/>
          <w:i/>
          <w:sz w:val="28"/>
          <w:szCs w:val="28"/>
        </w:rPr>
        <w:t>p mai táng phí”;</w:t>
      </w:r>
    </w:p>
    <w:p w:rsidR="004E24EF" w:rsidRPr="002B5BA1" w:rsidRDefault="007837A0" w:rsidP="00071EC0">
      <w:pPr>
        <w:spacing w:before="60" w:after="60" w:line="360" w:lineRule="exact"/>
        <w:ind w:firstLine="720"/>
        <w:rPr>
          <w:rFonts w:ascii="Times New Roman" w:hAnsi="Times New Roman" w:cs="Times New Roman"/>
          <w:i/>
          <w:sz w:val="28"/>
          <w:szCs w:val="28"/>
        </w:rPr>
      </w:pPr>
      <w:r w:rsidRPr="002B5BA1">
        <w:rPr>
          <w:rFonts w:ascii="Times New Roman" w:hAnsi="Times New Roman" w:cs="Times New Roman"/>
          <w:sz w:val="28"/>
          <w:szCs w:val="28"/>
        </w:rPr>
        <w:t>- Nghị quyết số 11/2022/NQ-HĐND ngày 09/12/2022 của Hội đồng nhân dân thành phố quy định chính sách hỗ trợ đóng bảo hiểm y tế cho các nhóm đối tượng xã hội trên địa bàn thành phố Hải Phòng. Trong đó có</w:t>
      </w:r>
      <w:r w:rsidRPr="002B5BA1">
        <w:rPr>
          <w:rFonts w:ascii="Times New Roman" w:hAnsi="Times New Roman" w:cs="Times New Roman"/>
          <w:i/>
          <w:sz w:val="28"/>
          <w:szCs w:val="28"/>
        </w:rPr>
        <w:t xml:space="preserve"> “Người cao tuổi từ 70 - 79 tuổi không có lương hưu, không có trợ cấp xã hội…chưa được cấp thẻ bảo hiểm y tế miễn phí…Ngân sách thành phố hỗ trợ: 100% mức đóng bảo hiểm y tế.”</w:t>
      </w:r>
      <w:r w:rsidR="00071EC0" w:rsidRPr="002B5BA1">
        <w:rPr>
          <w:rFonts w:ascii="Times New Roman" w:hAnsi="Times New Roman" w:cs="Times New Roman"/>
          <w:i/>
          <w:sz w:val="28"/>
          <w:szCs w:val="28"/>
        </w:rPr>
        <w:t>;</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 xml:space="preserve">- Quyết định số 511/QĐ-UBND ngày 08/02/2018 </w:t>
      </w:r>
      <w:r w:rsidR="00071EC0" w:rsidRPr="002B5BA1">
        <w:rPr>
          <w:sz w:val="28"/>
          <w:szCs w:val="28"/>
        </w:rPr>
        <w:t xml:space="preserve">của Ủy ban nhân dân thành phố </w:t>
      </w:r>
      <w:r w:rsidRPr="002B5BA1">
        <w:rPr>
          <w:sz w:val="28"/>
          <w:szCs w:val="28"/>
        </w:rPr>
        <w:t>về việc ban hành Kế hoạch hành động thực hiện Nghị quyết số 139/NQ-CP ngày 31/12/2017 của Chính phủ v</w:t>
      </w:r>
      <w:r w:rsidR="00071EC0" w:rsidRPr="002B5BA1">
        <w:rPr>
          <w:sz w:val="28"/>
          <w:szCs w:val="28"/>
        </w:rPr>
        <w:t>ề</w:t>
      </w:r>
      <w:r w:rsidRPr="002B5BA1">
        <w:rPr>
          <w:sz w:val="28"/>
          <w:szCs w:val="28"/>
        </w:rPr>
        <w:t xml:space="preserve"> Chương trình trình hành động số 50-Ctr/TU ngày 10/01/2018 của Ban Thường vụ Thành uỷ thực hiện Nghị quyết số 20-NQ/TW ngày 25/10/2017 của Ban Chấp hành Trung ương Đảng khoá XII về tăng cường công tác bảo vệ, chăm sóc và nâng cao sức kh</w:t>
      </w:r>
      <w:r w:rsidR="00071EC0" w:rsidRPr="002B5BA1">
        <w:rPr>
          <w:sz w:val="28"/>
          <w:szCs w:val="28"/>
        </w:rPr>
        <w:t>oẻ nhân dân trong tình hình mới;</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 Quyết định số 1881/QĐ-UBND ngày 05/7/2021</w:t>
      </w:r>
      <w:r w:rsidR="00071EC0" w:rsidRPr="002B5BA1">
        <w:rPr>
          <w:sz w:val="28"/>
          <w:szCs w:val="28"/>
        </w:rPr>
        <w:t xml:space="preserve"> Ủy ban nhân dân thành phố</w:t>
      </w:r>
      <w:r w:rsidRPr="002B5BA1">
        <w:rPr>
          <w:sz w:val="28"/>
          <w:szCs w:val="28"/>
        </w:rPr>
        <w:t xml:space="preserve"> về việc giao chỉ tiêu thực hiện bảo </w:t>
      </w:r>
      <w:r w:rsidR="00071EC0" w:rsidRPr="002B5BA1">
        <w:rPr>
          <w:sz w:val="28"/>
          <w:szCs w:val="28"/>
        </w:rPr>
        <w:t>hiểm y tế giai đoạn 2021 – 2025;</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lastRenderedPageBreak/>
        <w:t xml:space="preserve">Hàng năm, thành phố, các sở, ngành, đơn vị có liên quan còn ban hành nhiều văn bản hướng dẫn về bảo hiểm y tế </w:t>
      </w:r>
      <w:r w:rsidR="00C11015" w:rsidRPr="002B5BA1">
        <w:rPr>
          <w:sz w:val="28"/>
          <w:szCs w:val="28"/>
        </w:rPr>
        <w:t>nâng cao đời sống vật chất, tinh thần của N</w:t>
      </w:r>
      <w:r w:rsidRPr="002B5BA1">
        <w:rPr>
          <w:sz w:val="28"/>
          <w:szCs w:val="28"/>
        </w:rPr>
        <w:t>hân dân.</w:t>
      </w:r>
    </w:p>
    <w:p w:rsidR="004E24EF" w:rsidRPr="002B5BA1" w:rsidRDefault="007837A0" w:rsidP="00071EC0">
      <w:pPr>
        <w:pStyle w:val="NormalWeb"/>
        <w:shd w:val="clear" w:color="auto" w:fill="FFFFFF"/>
        <w:spacing w:before="60" w:beforeAutospacing="0" w:after="60" w:afterAutospacing="0" w:line="360" w:lineRule="exact"/>
        <w:ind w:firstLine="720"/>
        <w:jc w:val="both"/>
        <w:rPr>
          <w:b/>
          <w:sz w:val="28"/>
          <w:szCs w:val="28"/>
        </w:rPr>
      </w:pPr>
      <w:r w:rsidRPr="002B5BA1">
        <w:rPr>
          <w:b/>
          <w:sz w:val="28"/>
          <w:szCs w:val="28"/>
        </w:rPr>
        <w:t>2. Công tác tuyên truyền, tập huấn phổ biến giáo dục pháp luật</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 xml:space="preserve">Công tác tuyên truyền phổ </w:t>
      </w:r>
      <w:r w:rsidR="00071EC0" w:rsidRPr="002B5BA1">
        <w:rPr>
          <w:sz w:val="28"/>
          <w:szCs w:val="28"/>
        </w:rPr>
        <w:t>biến giáo dục pháp luật về bảo h</w:t>
      </w:r>
      <w:r w:rsidRPr="002B5BA1">
        <w:rPr>
          <w:sz w:val="28"/>
          <w:szCs w:val="28"/>
        </w:rPr>
        <w:t>iểm</w:t>
      </w:r>
      <w:r w:rsidR="002B03B7" w:rsidRPr="002B5BA1">
        <w:rPr>
          <w:sz w:val="28"/>
          <w:szCs w:val="28"/>
        </w:rPr>
        <w:t xml:space="preserve"> y tế là nhiệm vụ trọng tâm được </w:t>
      </w:r>
      <w:r w:rsidRPr="002B5BA1">
        <w:rPr>
          <w:sz w:val="28"/>
          <w:szCs w:val="28"/>
        </w:rPr>
        <w:t>cơ quan Bảo hiểm xã hội thành phố phối hợp với Uỷ ban nhân dân các quận, huyện, các Sở, ban, ngành và các cơ quan thông tin đại chúng</w:t>
      </w:r>
      <w:r w:rsidR="002B03B7" w:rsidRPr="002B5BA1">
        <w:rPr>
          <w:sz w:val="28"/>
          <w:szCs w:val="28"/>
        </w:rPr>
        <w:t xml:space="preserve"> thường xuyên thực hiện nhằm </w:t>
      </w:r>
      <w:r w:rsidRPr="002B5BA1">
        <w:rPr>
          <w:sz w:val="28"/>
          <w:szCs w:val="28"/>
        </w:rPr>
        <w:t>tăng cường công tác tuyên truyền phổ biến các chủ trương của Đảng, chính sách pháp luật của Nhà nước về bảo h</w:t>
      </w:r>
      <w:r w:rsidR="00C11015" w:rsidRPr="002B5BA1">
        <w:rPr>
          <w:sz w:val="28"/>
          <w:szCs w:val="28"/>
        </w:rPr>
        <w:t>iểm y tế tới người lao động và Nhân dân.</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Bảo hiểm xã hội thành phố phối hợp với các đơn vị liên quan tổ chức gần 2.000 hội nghị tuyên truyền, vận động người dân tham gia bảo hiểm y tế h</w:t>
      </w:r>
      <w:r w:rsidR="00C11015" w:rsidRPr="002B5BA1">
        <w:rPr>
          <w:sz w:val="28"/>
          <w:szCs w:val="28"/>
        </w:rPr>
        <w:t>ộ gia đình; tổ chức hơn 100 hội nghị</w:t>
      </w:r>
      <w:r w:rsidRPr="002B5BA1">
        <w:rPr>
          <w:sz w:val="28"/>
          <w:szCs w:val="28"/>
        </w:rPr>
        <w:t xml:space="preserve"> tậ</w:t>
      </w:r>
      <w:r w:rsidR="00071EC0" w:rsidRPr="002B5BA1">
        <w:rPr>
          <w:sz w:val="28"/>
          <w:szCs w:val="28"/>
        </w:rPr>
        <w:t>p huấn hướng dẫn thi hành Luật B</w:t>
      </w:r>
      <w:r w:rsidRPr="002B5BA1">
        <w:rPr>
          <w:sz w:val="28"/>
          <w:szCs w:val="28"/>
        </w:rPr>
        <w:t xml:space="preserve">ảo hiểm y tế và các văn bản hướng dẫn chính sách mới có hiệu lực; </w:t>
      </w:r>
      <w:r w:rsidR="002B03B7" w:rsidRPr="002B5BA1">
        <w:rPr>
          <w:sz w:val="28"/>
          <w:szCs w:val="28"/>
        </w:rPr>
        <w:t>p</w:t>
      </w:r>
      <w:r w:rsidRPr="002B5BA1">
        <w:rPr>
          <w:sz w:val="28"/>
          <w:szCs w:val="28"/>
        </w:rPr>
        <w:t>hối hợp với Liên đoàn Lao đ</w:t>
      </w:r>
      <w:r w:rsidR="002B03B7" w:rsidRPr="002B5BA1">
        <w:rPr>
          <w:sz w:val="28"/>
          <w:szCs w:val="28"/>
        </w:rPr>
        <w:t>ộng thành phố, Ban Quản lý các K</w:t>
      </w:r>
      <w:r w:rsidRPr="002B5BA1">
        <w:rPr>
          <w:sz w:val="28"/>
          <w:szCs w:val="28"/>
        </w:rPr>
        <w:t xml:space="preserve">hu công nghiệp thành phố tổ chức </w:t>
      </w:r>
      <w:r w:rsidR="002B03B7" w:rsidRPr="002B5BA1">
        <w:rPr>
          <w:sz w:val="28"/>
          <w:szCs w:val="28"/>
        </w:rPr>
        <w:t>trên</w:t>
      </w:r>
      <w:r w:rsidRPr="002B5BA1">
        <w:rPr>
          <w:sz w:val="28"/>
          <w:szCs w:val="28"/>
        </w:rPr>
        <w:t xml:space="preserve"> 200 hội nghị đối thoại chính sách về bảo hiểm y tế, giải đáp, tháo gỡ những khó khăn </w:t>
      </w:r>
      <w:r w:rsidR="002B03B7" w:rsidRPr="002B5BA1">
        <w:rPr>
          <w:sz w:val="28"/>
          <w:szCs w:val="28"/>
        </w:rPr>
        <w:t xml:space="preserve">cho </w:t>
      </w:r>
      <w:r w:rsidRPr="002B5BA1">
        <w:rPr>
          <w:sz w:val="28"/>
          <w:szCs w:val="28"/>
        </w:rPr>
        <w:t>trên 2.500 đơn vị sử dụng lao động và trên 5.400 người lao động tham gia bảo hiểm y tế; tổ chức 250 hội nghị tập huấn trang bị kỹ năng, phương pháp truyền thông nâng cao cho cán bộ tuyên truyền cấp cơ sở.</w:t>
      </w:r>
    </w:p>
    <w:p w:rsidR="004E24EF" w:rsidRPr="002B5BA1" w:rsidRDefault="002B03B7" w:rsidP="002B03B7">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Đồng thời,</w:t>
      </w:r>
      <w:r w:rsidR="00071EC0" w:rsidRPr="002B5BA1">
        <w:rPr>
          <w:sz w:val="28"/>
          <w:szCs w:val="28"/>
        </w:rPr>
        <w:t xml:space="preserve"> p</w:t>
      </w:r>
      <w:r w:rsidR="007837A0" w:rsidRPr="002B5BA1">
        <w:rPr>
          <w:sz w:val="28"/>
          <w:szCs w:val="28"/>
        </w:rPr>
        <w:t>hối hợp với Sở Thông tin và truyền thông, cơ quan Báo Hải Phòng, Báo An ninh Hải Phòng thực hiện tuyên truyền về chính sách bảo hiểm y tế; đăng tải 2.360 tin bài, phát sóng 96 phóng sự tuyên truyền về tình hình thực hiện chính sách bảo hiểm y tế trên địa bàn thành phố</w:t>
      </w:r>
      <w:r w:rsidRPr="002B5BA1">
        <w:rPr>
          <w:sz w:val="28"/>
          <w:szCs w:val="28"/>
        </w:rPr>
        <w:t>.</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Nhằm củng cố và nâng cao kiến thức tuyên truyên, tập huấn chế độ chính sách bảo hiểm y tế, Bảo hiểm xã hội thành phố phát động phong trào thi đua mỗi cán bộ, viên chức là một tuyên truyền viên vận động, người thân, bạn bè tham gia bảo hiểm y tế, bảo hiểm xã hội tự nguyện; đã tổ chức hội thi: “Tuyên truyền viên bảo hiểm xã hội, bảo hiểm y tế ” với sự tham gia của 300 tuyên truyền viên là viên chức, người lao động bảo hiểm xã hội thành phố, bảo hiểm xã hội các quận, huyện và cộng tác viên tuyên truyền, nhân viên đại lý thu bảo hiểm y tế.</w:t>
      </w:r>
    </w:p>
    <w:p w:rsidR="004E24EF" w:rsidRPr="002B5BA1" w:rsidRDefault="002B03B7"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Hàng năm cấp phát trên 5.000 tờ</w:t>
      </w:r>
      <w:r w:rsidR="007837A0" w:rsidRPr="002B5BA1">
        <w:rPr>
          <w:sz w:val="28"/>
          <w:szCs w:val="28"/>
        </w:rPr>
        <w:t xml:space="preserve"> gấp tuyên truyền về bảo hiểm y tế hộ gia đình, bảo hiểm y tế học sinh, sinh viên đối với các đơn vị, nhà trường, cơ sở y tế.     </w:t>
      </w:r>
    </w:p>
    <w:p w:rsidR="002B03B7"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 xml:space="preserve">Thông qua công tác tập huấn, tuyên truyền phổ biến chính sách pháp luật đã giúp nâng cao nhận thức của </w:t>
      </w:r>
      <w:r w:rsidR="002B03B7" w:rsidRPr="002B5BA1">
        <w:rPr>
          <w:sz w:val="28"/>
          <w:szCs w:val="28"/>
        </w:rPr>
        <w:t>người sử dụng lao động, người lao động và N</w:t>
      </w:r>
      <w:r w:rsidRPr="002B5BA1">
        <w:rPr>
          <w:sz w:val="28"/>
          <w:szCs w:val="28"/>
        </w:rPr>
        <w:t>hân dân về chính sách bảo hiểm y tế, góp phần quan trọng vào việc đảm bảo an sinh xã hội trên địa bàn thành phố.</w:t>
      </w:r>
      <w:r w:rsidR="002B03B7" w:rsidRPr="002B5BA1">
        <w:rPr>
          <w:sz w:val="28"/>
          <w:szCs w:val="28"/>
        </w:rPr>
        <w:t xml:space="preserve"> </w:t>
      </w:r>
    </w:p>
    <w:p w:rsidR="004E24EF" w:rsidRPr="002B5BA1" w:rsidRDefault="007837A0" w:rsidP="00071EC0">
      <w:pPr>
        <w:pStyle w:val="Vnbnnidung20"/>
        <w:tabs>
          <w:tab w:val="left" w:pos="1002"/>
        </w:tabs>
        <w:spacing w:before="60" w:after="60" w:line="360" w:lineRule="exact"/>
        <w:jc w:val="both"/>
        <w:rPr>
          <w:b/>
          <w:sz w:val="28"/>
          <w:szCs w:val="28"/>
        </w:rPr>
      </w:pPr>
      <w:r w:rsidRPr="002B5BA1">
        <w:rPr>
          <w:b/>
          <w:sz w:val="28"/>
          <w:szCs w:val="28"/>
        </w:rPr>
        <w:t>3. Tình hình tuân thủ pháp luật</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 xml:space="preserve">Việc thi hành các quy định pháp luật về thực hiện chính sách đóng bảo </w:t>
      </w:r>
      <w:r w:rsidRPr="002B5BA1">
        <w:rPr>
          <w:sz w:val="28"/>
          <w:szCs w:val="28"/>
        </w:rPr>
        <w:lastRenderedPageBreak/>
        <w:t xml:space="preserve">hiểm y tế nói chung và hỗ trợ đóng bảo hiểm y tế người thuộc hộ cận </w:t>
      </w:r>
      <w:r w:rsidR="002B03B7" w:rsidRPr="002B5BA1">
        <w:rPr>
          <w:sz w:val="28"/>
          <w:szCs w:val="28"/>
        </w:rPr>
        <w:t>nghèo, cận nghèo</w:t>
      </w:r>
      <w:r w:rsidRPr="002B5BA1">
        <w:rPr>
          <w:sz w:val="28"/>
          <w:szCs w:val="28"/>
        </w:rPr>
        <w:t>; người thuộc hộ làm nông, lâm, ngư, diêm nghiệp có mức sống trung bình; người nhiễm HIV, người cao tuổi… nói riêng trên địa bàn thành phố Hải Phòng được</w:t>
      </w:r>
      <w:r w:rsidR="002B03B7" w:rsidRPr="002B5BA1">
        <w:rPr>
          <w:sz w:val="28"/>
          <w:szCs w:val="28"/>
        </w:rPr>
        <w:t xml:space="preserve"> thực hiện theo đúng thẩm quyền, </w:t>
      </w:r>
      <w:r w:rsidRPr="002B5BA1">
        <w:rPr>
          <w:sz w:val="28"/>
          <w:szCs w:val="28"/>
        </w:rPr>
        <w:t>chức năng, nhiệm vụ được giao.</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Sở Lao động – Thương binh và Xã hội phối hợp với Sở Tài chính,</w:t>
      </w:r>
      <w:r w:rsidR="002B03B7" w:rsidRPr="002B5BA1">
        <w:rPr>
          <w:sz w:val="28"/>
          <w:szCs w:val="28"/>
        </w:rPr>
        <w:t xml:space="preserve"> </w:t>
      </w:r>
      <w:r w:rsidRPr="002B5BA1">
        <w:rPr>
          <w:sz w:val="28"/>
          <w:szCs w:val="28"/>
        </w:rPr>
        <w:t>Bảo hiểm xã hội thành phố tham mưu với Uỷ ban nhân dân thành phố giao ch</w:t>
      </w:r>
      <w:r w:rsidR="002B03B7" w:rsidRPr="002B5BA1">
        <w:rPr>
          <w:sz w:val="28"/>
          <w:szCs w:val="28"/>
        </w:rPr>
        <w:t>ỉ tiêu phát triển đối tượng tham</w:t>
      </w:r>
      <w:r w:rsidRPr="002B5BA1">
        <w:rPr>
          <w:sz w:val="28"/>
          <w:szCs w:val="28"/>
        </w:rPr>
        <w:t xml:space="preserve"> gia bảo hiểm y tế, bảo hiểm xã hội giai đoạn 2021 – 2025 cho Uỷ ban nhân dân các quận, huyện theo Quyết định số 3045/QĐ-TTg ngày 21/10/2021.</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 xml:space="preserve">Bảo hiểm xã hội thành phố phối hợp với Sở Tài chính, sở Y tế tham mưu với Uỷ ban nhân dân thành phố thực hiện phân bổ kinh phí khám chữa bệnh bảo hiểm y tế đối với các cơ sở khám chữa bệnh; đồng thời </w:t>
      </w:r>
      <w:r w:rsidR="002B03B7" w:rsidRPr="002B5BA1">
        <w:rPr>
          <w:sz w:val="28"/>
          <w:szCs w:val="28"/>
        </w:rPr>
        <w:t xml:space="preserve">giám sát, thẩm định, hướng dẫn </w:t>
      </w:r>
      <w:r w:rsidRPr="002B5BA1">
        <w:rPr>
          <w:sz w:val="28"/>
          <w:szCs w:val="28"/>
        </w:rPr>
        <w:t xml:space="preserve">các cơ sở sử dụng hiệu quả nguồn kinh phí được giao, </w:t>
      </w:r>
      <w:r w:rsidR="002B03B7" w:rsidRPr="002B5BA1">
        <w:rPr>
          <w:sz w:val="28"/>
          <w:szCs w:val="28"/>
        </w:rPr>
        <w:t xml:space="preserve">bảo </w:t>
      </w:r>
      <w:r w:rsidRPr="002B5BA1">
        <w:rPr>
          <w:sz w:val="28"/>
          <w:szCs w:val="28"/>
        </w:rPr>
        <w:t>đảm cân đối quỹ khám chữa bệnh.</w:t>
      </w:r>
    </w:p>
    <w:p w:rsidR="002B03B7"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Bảo hiểm xã hội thành phố phối hợp với Ban Tuyên giáo Thành uỷ ký và  triển khai Chương trình phối hợp số 01-CTPH/BTGTU-BHXH ngày 05/02/2021 trong tuyên truyền chính sách pháp luật về Bảo hiểm xã hội, bảo hiểm y tế, bảo hiểm thất nghiệp giai đoạn 2021 – 2025. 15/15 quận</w:t>
      </w:r>
      <w:r w:rsidR="00071EC0" w:rsidRPr="002B5BA1">
        <w:rPr>
          <w:sz w:val="28"/>
          <w:szCs w:val="28"/>
        </w:rPr>
        <w:t>, huyện đều đã triể</w:t>
      </w:r>
      <w:r w:rsidRPr="002B5BA1">
        <w:rPr>
          <w:sz w:val="28"/>
          <w:szCs w:val="28"/>
        </w:rPr>
        <w:t>n khai và ký kết chương trình phối hợp cùng cấp. Tổ chức hội nghị giao ban cộng tác viên dư luận thành ph</w:t>
      </w:r>
      <w:r w:rsidR="00071EC0" w:rsidRPr="002B5BA1">
        <w:rPr>
          <w:sz w:val="28"/>
          <w:szCs w:val="28"/>
        </w:rPr>
        <w:t>ố</w:t>
      </w:r>
      <w:r w:rsidRPr="002B5BA1">
        <w:rPr>
          <w:sz w:val="28"/>
          <w:szCs w:val="28"/>
        </w:rPr>
        <w:t xml:space="preserve"> chuyên đề thực hiệ</w:t>
      </w:r>
      <w:r w:rsidR="002B03B7" w:rsidRPr="002B5BA1">
        <w:rPr>
          <w:sz w:val="28"/>
          <w:szCs w:val="28"/>
        </w:rPr>
        <w:t>n chính sách về bảo hiểm y tế.</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Đến nay công tác tổ chức, triển khai thực hiện pháp luật về hỗ trợ đóng bảo hiểm y tế ch</w:t>
      </w:r>
      <w:r w:rsidR="00832276" w:rsidRPr="002B5BA1">
        <w:rPr>
          <w:sz w:val="28"/>
          <w:szCs w:val="28"/>
        </w:rPr>
        <w:t xml:space="preserve">o các nhóm đối tượng xã hội </w:t>
      </w:r>
      <w:r w:rsidRPr="002B5BA1">
        <w:rPr>
          <w:sz w:val="28"/>
          <w:szCs w:val="28"/>
        </w:rPr>
        <w:t xml:space="preserve">trên địa bàn thành phố chưa phát hiện vụ việc vi phạm, không nhận được </w:t>
      </w:r>
      <w:r w:rsidR="00832276" w:rsidRPr="002B5BA1">
        <w:rPr>
          <w:sz w:val="28"/>
          <w:szCs w:val="28"/>
        </w:rPr>
        <w:t>đơn, thư</w:t>
      </w:r>
      <w:r w:rsidRPr="002B5BA1">
        <w:rPr>
          <w:sz w:val="28"/>
          <w:szCs w:val="28"/>
        </w:rPr>
        <w:t xml:space="preserve"> khiếu nại, tố cáo trong </w:t>
      </w:r>
      <w:r w:rsidR="00832276" w:rsidRPr="002B5BA1">
        <w:rPr>
          <w:sz w:val="28"/>
          <w:szCs w:val="28"/>
        </w:rPr>
        <w:t xml:space="preserve">quá trình </w:t>
      </w:r>
      <w:r w:rsidRPr="002B5BA1">
        <w:rPr>
          <w:sz w:val="28"/>
          <w:szCs w:val="28"/>
        </w:rPr>
        <w:t xml:space="preserve">thực hiện các quy định của pháp luật về chính sách hỗ trợ bảo hiểm y tế cho các nhóm đối tượng. </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b/>
          <w:sz w:val="28"/>
          <w:szCs w:val="28"/>
        </w:rPr>
        <w:t>4. Công tác phát triển tham gia bảo hiểm y tế</w:t>
      </w:r>
    </w:p>
    <w:p w:rsidR="004E24EF" w:rsidRPr="002B5BA1" w:rsidRDefault="007837A0" w:rsidP="00071EC0">
      <w:pPr>
        <w:pStyle w:val="NormalWeb"/>
        <w:shd w:val="clear" w:color="auto" w:fill="FFFFFF"/>
        <w:spacing w:before="60" w:beforeAutospacing="0" w:after="60" w:afterAutospacing="0" w:line="360" w:lineRule="exact"/>
        <w:ind w:firstLine="720"/>
        <w:jc w:val="both"/>
        <w:rPr>
          <w:sz w:val="28"/>
          <w:szCs w:val="28"/>
        </w:rPr>
      </w:pPr>
      <w:r w:rsidRPr="002B5BA1">
        <w:rPr>
          <w:sz w:val="28"/>
          <w:szCs w:val="28"/>
        </w:rPr>
        <w:t>Trong những năm qua</w:t>
      </w:r>
      <w:r w:rsidR="00832276" w:rsidRPr="002B5BA1">
        <w:rPr>
          <w:sz w:val="28"/>
          <w:szCs w:val="28"/>
        </w:rPr>
        <w:t>,</w:t>
      </w:r>
      <w:r w:rsidRPr="002B5BA1">
        <w:rPr>
          <w:sz w:val="28"/>
          <w:szCs w:val="28"/>
        </w:rPr>
        <w:t xml:space="preserve"> </w:t>
      </w:r>
      <w:r w:rsidR="00832276" w:rsidRPr="002B5BA1">
        <w:rPr>
          <w:sz w:val="28"/>
          <w:szCs w:val="28"/>
        </w:rPr>
        <w:t xml:space="preserve">hướng tới </w:t>
      </w:r>
      <w:r w:rsidRPr="002B5BA1">
        <w:rPr>
          <w:sz w:val="28"/>
          <w:szCs w:val="28"/>
        </w:rPr>
        <w:t xml:space="preserve">hoàn thành mục tiêu phát triển người tham gia bảo hiểm y tế trên địa bàn thành phố do Uỷ ban nhân dân thành phố giao, Bảo hiểm xã hội thành phố phối hợp với các Sở, ban, ngành, đoàn thể và Uỷ ban nhân dân các quận, huyện tiến hành triển khai quyết liệt, đồng bộ, tích cực các biện pháp mở rộng, phát triển người tham gia bảo hiểm y tế. Kết quả giai đoạn 2019 </w:t>
      </w:r>
      <w:r w:rsidR="00071EC0" w:rsidRPr="002B5BA1">
        <w:rPr>
          <w:sz w:val="28"/>
          <w:szCs w:val="28"/>
        </w:rPr>
        <w:t>–</w:t>
      </w:r>
      <w:r w:rsidRPr="002B5BA1">
        <w:rPr>
          <w:sz w:val="28"/>
          <w:szCs w:val="28"/>
        </w:rPr>
        <w:t xml:space="preserve"> 2023</w:t>
      </w:r>
      <w:r w:rsidR="00071EC0" w:rsidRPr="002B5BA1">
        <w:rPr>
          <w:sz w:val="28"/>
          <w:szCs w:val="28"/>
        </w:rPr>
        <w:t>,</w:t>
      </w:r>
      <w:r w:rsidRPr="002B5BA1">
        <w:rPr>
          <w:sz w:val="28"/>
          <w:szCs w:val="28"/>
        </w:rPr>
        <w:t xml:space="preserve"> có 9.323.542 người tham gia bảo hiểm y tế</w:t>
      </w:r>
      <w:r w:rsidR="00071EC0" w:rsidRPr="002B5BA1">
        <w:rPr>
          <w:sz w:val="28"/>
          <w:szCs w:val="28"/>
        </w:rPr>
        <w:t>,</w:t>
      </w:r>
      <w:r w:rsidRPr="002B5BA1">
        <w:rPr>
          <w:sz w:val="28"/>
          <w:szCs w:val="28"/>
        </w:rPr>
        <w:t xml:space="preserve"> cụ thể: </w:t>
      </w:r>
    </w:p>
    <w:p w:rsidR="004E24EF" w:rsidRPr="002B5BA1" w:rsidRDefault="007837A0" w:rsidP="00071EC0">
      <w:pPr>
        <w:tabs>
          <w:tab w:val="left" w:pos="709"/>
          <w:tab w:val="left" w:pos="993"/>
        </w:tabs>
        <w:spacing w:before="60" w:after="60" w:line="360" w:lineRule="exact"/>
        <w:ind w:firstLine="720"/>
        <w:rPr>
          <w:rFonts w:ascii="Times New Roman" w:hAnsi="Times New Roman" w:cs="Times New Roman"/>
          <w:sz w:val="28"/>
          <w:szCs w:val="28"/>
        </w:rPr>
      </w:pPr>
      <w:r w:rsidRPr="002B5BA1">
        <w:rPr>
          <w:rFonts w:ascii="Times New Roman" w:hAnsi="Times New Roman" w:cs="Times New Roman"/>
          <w:sz w:val="28"/>
          <w:szCs w:val="28"/>
        </w:rPr>
        <w:t>Năm 2019 số người tham gia bảo hiểm y tế 1.779.551</w:t>
      </w:r>
      <w:r w:rsidR="00071EC0" w:rsidRPr="002B5BA1">
        <w:rPr>
          <w:rFonts w:ascii="Times New Roman" w:hAnsi="Times New Roman" w:cs="Times New Roman"/>
          <w:sz w:val="28"/>
          <w:szCs w:val="28"/>
        </w:rPr>
        <w:t>,</w:t>
      </w:r>
      <w:r w:rsidRPr="002B5BA1">
        <w:rPr>
          <w:rFonts w:ascii="Times New Roman" w:hAnsi="Times New Roman" w:cs="Times New Roman"/>
          <w:sz w:val="28"/>
          <w:szCs w:val="28"/>
        </w:rPr>
        <w:t xml:space="preserve"> đạt 88,41% </w:t>
      </w:r>
      <w:r w:rsidR="00832276" w:rsidRPr="002B5BA1">
        <w:rPr>
          <w:rFonts w:ascii="Times New Roman" w:hAnsi="Times New Roman" w:cs="Times New Roman"/>
          <w:sz w:val="28"/>
          <w:szCs w:val="28"/>
        </w:rPr>
        <w:t xml:space="preserve">dân </w:t>
      </w:r>
      <w:r w:rsidRPr="002B5BA1">
        <w:rPr>
          <w:rFonts w:ascii="Times New Roman" w:hAnsi="Times New Roman" w:cs="Times New Roman"/>
          <w:sz w:val="28"/>
          <w:szCs w:val="28"/>
        </w:rPr>
        <w:t>số.</w:t>
      </w:r>
    </w:p>
    <w:p w:rsidR="004E24EF" w:rsidRPr="002B5BA1" w:rsidRDefault="007837A0" w:rsidP="00071EC0">
      <w:pPr>
        <w:tabs>
          <w:tab w:val="left" w:pos="709"/>
          <w:tab w:val="left" w:pos="993"/>
        </w:tabs>
        <w:spacing w:before="60" w:after="60" w:line="360" w:lineRule="exact"/>
        <w:ind w:firstLine="720"/>
        <w:rPr>
          <w:rFonts w:ascii="Times New Roman" w:hAnsi="Times New Roman" w:cs="Times New Roman"/>
          <w:sz w:val="28"/>
          <w:szCs w:val="28"/>
        </w:rPr>
      </w:pPr>
      <w:r w:rsidRPr="002B5BA1">
        <w:rPr>
          <w:rFonts w:ascii="Times New Roman" w:hAnsi="Times New Roman" w:cs="Times New Roman"/>
          <w:sz w:val="28"/>
          <w:szCs w:val="28"/>
        </w:rPr>
        <w:t>Năm 2020 số người tham gia bảo hiểm y tế 1.821.911</w:t>
      </w:r>
      <w:r w:rsidR="00071EC0" w:rsidRPr="002B5BA1">
        <w:rPr>
          <w:rFonts w:ascii="Times New Roman" w:hAnsi="Times New Roman" w:cs="Times New Roman"/>
          <w:sz w:val="28"/>
          <w:szCs w:val="28"/>
        </w:rPr>
        <w:t>,</w:t>
      </w:r>
      <w:r w:rsidRPr="002B5BA1">
        <w:rPr>
          <w:rFonts w:ascii="Times New Roman" w:hAnsi="Times New Roman" w:cs="Times New Roman"/>
          <w:sz w:val="28"/>
          <w:szCs w:val="28"/>
        </w:rPr>
        <w:t xml:space="preserve"> đạt 90,70% </w:t>
      </w:r>
      <w:r w:rsidR="00832276" w:rsidRPr="002B5BA1">
        <w:rPr>
          <w:rFonts w:ascii="Times New Roman" w:hAnsi="Times New Roman" w:cs="Times New Roman"/>
          <w:sz w:val="28"/>
          <w:szCs w:val="28"/>
        </w:rPr>
        <w:t xml:space="preserve">dân </w:t>
      </w:r>
      <w:r w:rsidRPr="002B5BA1">
        <w:rPr>
          <w:rFonts w:ascii="Times New Roman" w:hAnsi="Times New Roman" w:cs="Times New Roman"/>
          <w:sz w:val="28"/>
          <w:szCs w:val="28"/>
        </w:rPr>
        <w:t>số</w:t>
      </w:r>
      <w:r w:rsidR="00832276" w:rsidRPr="002B5BA1">
        <w:rPr>
          <w:rFonts w:ascii="Times New Roman" w:hAnsi="Times New Roman" w:cs="Times New Roman"/>
          <w:sz w:val="28"/>
          <w:szCs w:val="28"/>
        </w:rPr>
        <w:t>.</w:t>
      </w:r>
    </w:p>
    <w:p w:rsidR="004E24EF" w:rsidRPr="002B5BA1" w:rsidRDefault="007837A0" w:rsidP="00071EC0">
      <w:pPr>
        <w:tabs>
          <w:tab w:val="left" w:pos="709"/>
          <w:tab w:val="left" w:pos="993"/>
        </w:tabs>
        <w:spacing w:before="60" w:after="60" w:line="360" w:lineRule="exact"/>
        <w:ind w:firstLine="720"/>
        <w:rPr>
          <w:rFonts w:ascii="Times New Roman" w:hAnsi="Times New Roman" w:cs="Times New Roman"/>
          <w:sz w:val="28"/>
          <w:szCs w:val="28"/>
        </w:rPr>
      </w:pPr>
      <w:r w:rsidRPr="002B5BA1">
        <w:rPr>
          <w:rFonts w:ascii="Times New Roman" w:hAnsi="Times New Roman" w:cs="Times New Roman"/>
          <w:sz w:val="28"/>
          <w:szCs w:val="28"/>
        </w:rPr>
        <w:t>Năm 2021 số người tham gia bảo hiểm y tế 1.865.948</w:t>
      </w:r>
      <w:r w:rsidR="00071EC0" w:rsidRPr="002B5BA1">
        <w:rPr>
          <w:rFonts w:ascii="Times New Roman" w:hAnsi="Times New Roman" w:cs="Times New Roman"/>
          <w:sz w:val="28"/>
          <w:szCs w:val="28"/>
        </w:rPr>
        <w:t>,</w:t>
      </w:r>
      <w:r w:rsidRPr="002B5BA1">
        <w:rPr>
          <w:rFonts w:ascii="Times New Roman" w:hAnsi="Times New Roman" w:cs="Times New Roman"/>
          <w:sz w:val="28"/>
          <w:szCs w:val="28"/>
        </w:rPr>
        <w:t xml:space="preserve"> đạt 91,30% </w:t>
      </w:r>
      <w:r w:rsidR="00832276" w:rsidRPr="002B5BA1">
        <w:rPr>
          <w:rFonts w:ascii="Times New Roman" w:hAnsi="Times New Roman" w:cs="Times New Roman"/>
          <w:sz w:val="28"/>
          <w:szCs w:val="28"/>
        </w:rPr>
        <w:t xml:space="preserve">dân </w:t>
      </w:r>
      <w:r w:rsidRPr="002B5BA1">
        <w:rPr>
          <w:rFonts w:ascii="Times New Roman" w:hAnsi="Times New Roman" w:cs="Times New Roman"/>
          <w:sz w:val="28"/>
          <w:szCs w:val="28"/>
        </w:rPr>
        <w:t>s</w:t>
      </w:r>
      <w:r w:rsidR="00832276" w:rsidRPr="002B5BA1">
        <w:rPr>
          <w:rFonts w:ascii="Times New Roman" w:hAnsi="Times New Roman" w:cs="Times New Roman"/>
          <w:sz w:val="28"/>
          <w:szCs w:val="28"/>
        </w:rPr>
        <w:t>ố.</w:t>
      </w:r>
    </w:p>
    <w:p w:rsidR="004E24EF" w:rsidRPr="002B5BA1" w:rsidRDefault="007837A0" w:rsidP="00071EC0">
      <w:pPr>
        <w:tabs>
          <w:tab w:val="left" w:pos="709"/>
          <w:tab w:val="left" w:pos="993"/>
        </w:tabs>
        <w:spacing w:before="60" w:after="60" w:line="360" w:lineRule="exact"/>
        <w:ind w:firstLine="720"/>
        <w:rPr>
          <w:rFonts w:ascii="Times New Roman" w:hAnsi="Times New Roman" w:cs="Times New Roman"/>
          <w:sz w:val="28"/>
          <w:szCs w:val="28"/>
        </w:rPr>
      </w:pPr>
      <w:r w:rsidRPr="002B5BA1">
        <w:rPr>
          <w:rFonts w:ascii="Times New Roman" w:hAnsi="Times New Roman" w:cs="Times New Roman"/>
          <w:sz w:val="28"/>
          <w:szCs w:val="28"/>
        </w:rPr>
        <w:t>Năm 2022 số người tham gia bảo hiểm y tế 1.906.132</w:t>
      </w:r>
      <w:r w:rsidR="00071EC0" w:rsidRPr="002B5BA1">
        <w:rPr>
          <w:rFonts w:ascii="Times New Roman" w:hAnsi="Times New Roman" w:cs="Times New Roman"/>
          <w:sz w:val="28"/>
          <w:szCs w:val="28"/>
        </w:rPr>
        <w:t>,</w:t>
      </w:r>
      <w:r w:rsidRPr="002B5BA1">
        <w:rPr>
          <w:rFonts w:ascii="Times New Roman" w:hAnsi="Times New Roman" w:cs="Times New Roman"/>
          <w:sz w:val="28"/>
          <w:szCs w:val="28"/>
        </w:rPr>
        <w:t xml:space="preserve"> đạt 92,10% </w:t>
      </w:r>
      <w:r w:rsidR="00832276" w:rsidRPr="002B5BA1">
        <w:rPr>
          <w:rFonts w:ascii="Times New Roman" w:hAnsi="Times New Roman" w:cs="Times New Roman"/>
          <w:sz w:val="28"/>
          <w:szCs w:val="28"/>
        </w:rPr>
        <w:t xml:space="preserve">dân </w:t>
      </w:r>
      <w:r w:rsidRPr="002B5BA1">
        <w:rPr>
          <w:rFonts w:ascii="Times New Roman" w:hAnsi="Times New Roman" w:cs="Times New Roman"/>
          <w:sz w:val="28"/>
          <w:szCs w:val="28"/>
        </w:rPr>
        <w:t>số</w:t>
      </w:r>
      <w:r w:rsidR="00832276" w:rsidRPr="002B5BA1">
        <w:rPr>
          <w:rFonts w:ascii="Times New Roman" w:hAnsi="Times New Roman" w:cs="Times New Roman"/>
          <w:sz w:val="28"/>
          <w:szCs w:val="28"/>
        </w:rPr>
        <w:t>.</w:t>
      </w:r>
    </w:p>
    <w:p w:rsidR="004E24EF" w:rsidRPr="002B5BA1" w:rsidRDefault="007837A0" w:rsidP="00071EC0">
      <w:pPr>
        <w:tabs>
          <w:tab w:val="left" w:pos="709"/>
          <w:tab w:val="left" w:pos="993"/>
        </w:tabs>
        <w:spacing w:before="60" w:after="60" w:line="360" w:lineRule="exact"/>
        <w:ind w:firstLine="720"/>
        <w:rPr>
          <w:rFonts w:ascii="Times New Roman" w:hAnsi="Times New Roman" w:cs="Times New Roman"/>
          <w:sz w:val="28"/>
          <w:szCs w:val="28"/>
        </w:rPr>
      </w:pPr>
      <w:r w:rsidRPr="002B5BA1">
        <w:rPr>
          <w:rFonts w:ascii="Times New Roman" w:hAnsi="Times New Roman" w:cs="Times New Roman"/>
          <w:sz w:val="28"/>
          <w:szCs w:val="28"/>
        </w:rPr>
        <w:t>Năm 2023 số người tham gia bảo hiểm y tế 1.950.000</w:t>
      </w:r>
      <w:r w:rsidR="00071EC0" w:rsidRPr="002B5BA1">
        <w:rPr>
          <w:rFonts w:ascii="Times New Roman" w:hAnsi="Times New Roman" w:cs="Times New Roman"/>
          <w:sz w:val="28"/>
          <w:szCs w:val="28"/>
        </w:rPr>
        <w:t>,</w:t>
      </w:r>
      <w:r w:rsidRPr="002B5BA1">
        <w:rPr>
          <w:rFonts w:ascii="Times New Roman" w:hAnsi="Times New Roman" w:cs="Times New Roman"/>
          <w:sz w:val="28"/>
          <w:szCs w:val="28"/>
        </w:rPr>
        <w:t xml:space="preserve"> đạt tỷ lệ 93,3% dân số (bao gồm cả lực lượng </w:t>
      </w:r>
      <w:r w:rsidR="00832276" w:rsidRPr="002B5BA1">
        <w:rPr>
          <w:rFonts w:ascii="Times New Roman" w:hAnsi="Times New Roman" w:cs="Times New Roman"/>
          <w:sz w:val="28"/>
          <w:szCs w:val="28"/>
        </w:rPr>
        <w:t xml:space="preserve">vũ trang </w:t>
      </w:r>
      <w:r w:rsidRPr="002B5BA1">
        <w:rPr>
          <w:rFonts w:ascii="Times New Roman" w:hAnsi="Times New Roman" w:cs="Times New Roman"/>
          <w:sz w:val="28"/>
          <w:szCs w:val="28"/>
        </w:rPr>
        <w:t>và thân nhân).</w:t>
      </w:r>
    </w:p>
    <w:p w:rsidR="004E24EF" w:rsidRPr="002B5BA1" w:rsidRDefault="007837A0" w:rsidP="00071EC0">
      <w:pPr>
        <w:pStyle w:val="Vnbnnidung20"/>
        <w:tabs>
          <w:tab w:val="left" w:pos="1002"/>
        </w:tabs>
        <w:spacing w:before="60" w:after="60" w:line="360" w:lineRule="exact"/>
        <w:jc w:val="both"/>
        <w:rPr>
          <w:sz w:val="28"/>
          <w:szCs w:val="28"/>
        </w:rPr>
      </w:pPr>
      <w:r w:rsidRPr="002B5BA1">
        <w:rPr>
          <w:b/>
          <w:sz w:val="28"/>
          <w:szCs w:val="28"/>
        </w:rPr>
        <w:lastRenderedPageBreak/>
        <w:t>5.</w:t>
      </w:r>
      <w:r w:rsidRPr="002B5BA1">
        <w:rPr>
          <w:sz w:val="28"/>
          <w:szCs w:val="28"/>
        </w:rPr>
        <w:t xml:space="preserve"> </w:t>
      </w:r>
      <w:r w:rsidRPr="002B5BA1">
        <w:rPr>
          <w:b/>
          <w:sz w:val="28"/>
          <w:szCs w:val="28"/>
        </w:rPr>
        <w:t>Công tác quản lý chi phí khám bệnh, chữa bệnh bảo hiểm y tế</w:t>
      </w:r>
    </w:p>
    <w:p w:rsidR="004E24EF" w:rsidRPr="002B5BA1" w:rsidRDefault="00832276" w:rsidP="00071EC0">
      <w:pPr>
        <w:pStyle w:val="Vnbnnidung20"/>
        <w:tabs>
          <w:tab w:val="left" w:pos="1002"/>
        </w:tabs>
        <w:spacing w:before="60" w:after="60" w:line="360" w:lineRule="exact"/>
        <w:jc w:val="both"/>
        <w:rPr>
          <w:sz w:val="28"/>
          <w:szCs w:val="28"/>
        </w:rPr>
      </w:pPr>
      <w:r w:rsidRPr="002B5BA1">
        <w:rPr>
          <w:sz w:val="28"/>
          <w:szCs w:val="28"/>
        </w:rPr>
        <w:t>Để kiểm soát và quản lý có hiệu quả</w:t>
      </w:r>
      <w:r w:rsidR="007837A0" w:rsidRPr="002B5BA1">
        <w:rPr>
          <w:sz w:val="28"/>
          <w:szCs w:val="28"/>
        </w:rPr>
        <w:t xml:space="preserve"> quỹ khám chữa bệnh bảo hiểm y tế, ngăn ngừa và hạn chế tình trạng lạm dụng</w:t>
      </w:r>
      <w:r w:rsidRPr="002B5BA1">
        <w:rPr>
          <w:sz w:val="28"/>
          <w:szCs w:val="28"/>
        </w:rPr>
        <w:t>,</w:t>
      </w:r>
      <w:r w:rsidR="007837A0" w:rsidRPr="002B5BA1">
        <w:rPr>
          <w:sz w:val="28"/>
          <w:szCs w:val="28"/>
        </w:rPr>
        <w:t xml:space="preserve"> trục lợi quỹ khám chữa bệnh bảo hiểm y tế, Bảo hiểm xã hội thành phố phối hợp với Sở Y tế kiểm soát chặt chẽ chi phí khám </w:t>
      </w:r>
      <w:r w:rsidRPr="002B5BA1">
        <w:rPr>
          <w:sz w:val="28"/>
          <w:szCs w:val="28"/>
        </w:rPr>
        <w:t xml:space="preserve">chữa bệnh về bảo hiểm y tế. Kết </w:t>
      </w:r>
      <w:r w:rsidR="007837A0" w:rsidRPr="002B5BA1">
        <w:rPr>
          <w:sz w:val="28"/>
          <w:szCs w:val="28"/>
        </w:rPr>
        <w:t>quả</w:t>
      </w:r>
      <w:r w:rsidRPr="002B5BA1">
        <w:rPr>
          <w:sz w:val="28"/>
          <w:szCs w:val="28"/>
        </w:rPr>
        <w:t>,</w:t>
      </w:r>
      <w:r w:rsidR="007837A0" w:rsidRPr="002B5BA1">
        <w:rPr>
          <w:sz w:val="28"/>
          <w:szCs w:val="28"/>
        </w:rPr>
        <w:t xml:space="preserve"> giai đoạn 2019 – 2023</w:t>
      </w:r>
      <w:r w:rsidR="00071EC0" w:rsidRPr="002B5BA1">
        <w:rPr>
          <w:sz w:val="28"/>
          <w:szCs w:val="28"/>
        </w:rPr>
        <w:t>,</w:t>
      </w:r>
      <w:r w:rsidR="007837A0" w:rsidRPr="002B5BA1">
        <w:rPr>
          <w:sz w:val="28"/>
          <w:szCs w:val="28"/>
        </w:rPr>
        <w:t xml:space="preserve"> các cơ sở khám chữa bệnh bảo hiểm y tế trên địa bàn thành phố Hải Phòng đã thực hiện khám chữa bệnh cho 10.893.763 lượt người với tổng số kinh phí 9.726,293 tỷ (không tính chi phí khám chữa bệnh bảo hiểm y tế ngoại tỉnh) cụ thể:</w:t>
      </w:r>
    </w:p>
    <w:p w:rsidR="004E24EF" w:rsidRPr="002B5BA1" w:rsidRDefault="00832276" w:rsidP="00071EC0">
      <w:pPr>
        <w:pStyle w:val="Vnbnnidung20"/>
        <w:tabs>
          <w:tab w:val="left" w:pos="1002"/>
        </w:tabs>
        <w:spacing w:before="60" w:after="60" w:line="360" w:lineRule="exact"/>
        <w:jc w:val="both"/>
        <w:rPr>
          <w:sz w:val="28"/>
          <w:szCs w:val="28"/>
        </w:rPr>
      </w:pPr>
      <w:r w:rsidRPr="002B5BA1">
        <w:rPr>
          <w:sz w:val="28"/>
          <w:szCs w:val="28"/>
        </w:rPr>
        <w:t>Năm 2019: 1.908,862 tỷ đồng/</w:t>
      </w:r>
      <w:r w:rsidR="007837A0" w:rsidRPr="002B5BA1">
        <w:rPr>
          <w:sz w:val="28"/>
          <w:szCs w:val="28"/>
        </w:rPr>
        <w:t>2.350.000 lượt người bệnh</w:t>
      </w:r>
      <w:r w:rsidR="00071EC0" w:rsidRPr="002B5BA1">
        <w:rPr>
          <w:sz w:val="28"/>
          <w:szCs w:val="28"/>
        </w:rPr>
        <w:t>,</w:t>
      </w:r>
      <w:r w:rsidR="007837A0" w:rsidRPr="002B5BA1">
        <w:rPr>
          <w:sz w:val="28"/>
          <w:szCs w:val="28"/>
        </w:rPr>
        <w:t xml:space="preserve"> đạt 99,23% nguồn kinh phí;</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Năm 2020: 1.835,936 tỷ đồng</w:t>
      </w:r>
      <w:r w:rsidR="00832276" w:rsidRPr="002B5BA1">
        <w:rPr>
          <w:sz w:val="28"/>
          <w:szCs w:val="28"/>
        </w:rPr>
        <w:t>/</w:t>
      </w:r>
      <w:r w:rsidRPr="002B5BA1">
        <w:rPr>
          <w:sz w:val="28"/>
          <w:szCs w:val="28"/>
        </w:rPr>
        <w:t>2.319.464 lượt người bệnh</w:t>
      </w:r>
      <w:r w:rsidR="00071EC0" w:rsidRPr="002B5BA1">
        <w:rPr>
          <w:sz w:val="28"/>
          <w:szCs w:val="28"/>
        </w:rPr>
        <w:t>,</w:t>
      </w:r>
      <w:r w:rsidRPr="002B5BA1">
        <w:rPr>
          <w:sz w:val="28"/>
          <w:szCs w:val="28"/>
        </w:rPr>
        <w:t xml:space="preserve"> đạt 94,23% nguồn kinh phí;</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Năm 2021: 1.889,184 tỷ đồng</w:t>
      </w:r>
      <w:r w:rsidR="00832276" w:rsidRPr="002B5BA1">
        <w:rPr>
          <w:sz w:val="28"/>
          <w:szCs w:val="28"/>
        </w:rPr>
        <w:t>/</w:t>
      </w:r>
      <w:r w:rsidRPr="002B5BA1">
        <w:rPr>
          <w:sz w:val="28"/>
          <w:szCs w:val="28"/>
        </w:rPr>
        <w:t>1.915.948 lượt người bệnh</w:t>
      </w:r>
      <w:r w:rsidR="00071EC0" w:rsidRPr="002B5BA1">
        <w:rPr>
          <w:sz w:val="28"/>
          <w:szCs w:val="28"/>
        </w:rPr>
        <w:t>,</w:t>
      </w:r>
      <w:r w:rsidRPr="002B5BA1">
        <w:rPr>
          <w:sz w:val="28"/>
          <w:szCs w:val="28"/>
        </w:rPr>
        <w:t xml:space="preserve"> đạt 97% nguồn kinh phí;</w:t>
      </w:r>
    </w:p>
    <w:p w:rsidR="004E24EF" w:rsidRPr="002B5BA1" w:rsidRDefault="00832276" w:rsidP="00071EC0">
      <w:pPr>
        <w:pStyle w:val="Vnbnnidung20"/>
        <w:tabs>
          <w:tab w:val="left" w:pos="1002"/>
        </w:tabs>
        <w:spacing w:before="60" w:after="60" w:line="360" w:lineRule="exact"/>
        <w:jc w:val="both"/>
        <w:rPr>
          <w:sz w:val="28"/>
          <w:szCs w:val="28"/>
        </w:rPr>
      </w:pPr>
      <w:r w:rsidRPr="002B5BA1">
        <w:rPr>
          <w:sz w:val="28"/>
          <w:szCs w:val="28"/>
        </w:rPr>
        <w:t>Năm 2022: 1.948,711 tỷ đồng/</w:t>
      </w:r>
      <w:r w:rsidR="007837A0" w:rsidRPr="002B5BA1">
        <w:rPr>
          <w:sz w:val="28"/>
          <w:szCs w:val="28"/>
        </w:rPr>
        <w:t xml:space="preserve"> 2.068.421 lượt người bệnh</w:t>
      </w:r>
      <w:r w:rsidR="00071EC0" w:rsidRPr="002B5BA1">
        <w:rPr>
          <w:sz w:val="28"/>
          <w:szCs w:val="28"/>
        </w:rPr>
        <w:t>,</w:t>
      </w:r>
      <w:r w:rsidR="007837A0" w:rsidRPr="002B5BA1">
        <w:rPr>
          <w:sz w:val="28"/>
          <w:szCs w:val="28"/>
        </w:rPr>
        <w:t xml:space="preserve"> đạt 91,2% nguồn kinh phí;</w:t>
      </w:r>
    </w:p>
    <w:p w:rsidR="004E24EF" w:rsidRPr="002B5BA1" w:rsidRDefault="00832276" w:rsidP="00071EC0">
      <w:pPr>
        <w:pStyle w:val="Vnbnnidung20"/>
        <w:tabs>
          <w:tab w:val="left" w:pos="1002"/>
        </w:tabs>
        <w:spacing w:before="60" w:after="60" w:line="360" w:lineRule="exact"/>
        <w:jc w:val="both"/>
        <w:rPr>
          <w:sz w:val="28"/>
          <w:szCs w:val="28"/>
        </w:rPr>
      </w:pPr>
      <w:r w:rsidRPr="002B5BA1">
        <w:rPr>
          <w:sz w:val="28"/>
          <w:szCs w:val="28"/>
        </w:rPr>
        <w:t>Năm 2023: 2.143,600 tỷ đồng/</w:t>
      </w:r>
      <w:r w:rsidR="007837A0" w:rsidRPr="002B5BA1">
        <w:rPr>
          <w:sz w:val="28"/>
          <w:szCs w:val="28"/>
        </w:rPr>
        <w:t>2.239.930 lượt người bệnh</w:t>
      </w:r>
      <w:r w:rsidR="00071EC0" w:rsidRPr="002B5BA1">
        <w:rPr>
          <w:sz w:val="28"/>
          <w:szCs w:val="28"/>
        </w:rPr>
        <w:t>,</w:t>
      </w:r>
      <w:r w:rsidR="007837A0" w:rsidRPr="002B5BA1">
        <w:rPr>
          <w:sz w:val="28"/>
          <w:szCs w:val="28"/>
        </w:rPr>
        <w:t xml:space="preserve"> đạt 97,8% nguồn kinh phí.</w:t>
      </w:r>
    </w:p>
    <w:p w:rsidR="004E24EF" w:rsidRPr="002B5BA1" w:rsidRDefault="007837A0" w:rsidP="00071EC0">
      <w:pPr>
        <w:pStyle w:val="Vnbnnidung20"/>
        <w:tabs>
          <w:tab w:val="left" w:pos="1002"/>
        </w:tabs>
        <w:spacing w:before="60" w:after="60" w:line="360" w:lineRule="exact"/>
        <w:jc w:val="both"/>
        <w:rPr>
          <w:b/>
          <w:sz w:val="24"/>
          <w:szCs w:val="24"/>
        </w:rPr>
      </w:pPr>
      <w:r w:rsidRPr="002B5BA1">
        <w:rPr>
          <w:b/>
          <w:sz w:val="24"/>
          <w:szCs w:val="24"/>
        </w:rPr>
        <w:t>III. ĐÁNH GIÁ</w:t>
      </w:r>
    </w:p>
    <w:p w:rsidR="004E24EF" w:rsidRPr="002B5BA1" w:rsidRDefault="007837A0" w:rsidP="00071EC0">
      <w:pPr>
        <w:pStyle w:val="Vnbnnidung20"/>
        <w:tabs>
          <w:tab w:val="left" w:pos="1002"/>
        </w:tabs>
        <w:spacing w:before="60" w:after="60" w:line="360" w:lineRule="exact"/>
        <w:jc w:val="both"/>
        <w:rPr>
          <w:b/>
          <w:sz w:val="28"/>
          <w:szCs w:val="28"/>
        </w:rPr>
      </w:pPr>
      <w:r w:rsidRPr="002B5BA1">
        <w:rPr>
          <w:b/>
          <w:sz w:val="28"/>
          <w:szCs w:val="28"/>
        </w:rPr>
        <w:t>1. Ưu điểm</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 xml:space="preserve">Văn bản hướng dẫn về thực hiện chính sách bảo hiểm y tế được các Bộ, ngành Trung ương ban hành kịp thời; sự quan tâm lãnh đạo chỉ đạo của Thành ủy, Hội đồng nhân dân, Ủy ban nhân dân, sự phối kết hợp giữa các Sở, ban, ngành, đoàn thể, địa phương về việc thực hiện chính sách pháp luật về bảo hiểm y tế nói chung và hỗ trợ bảo hiểm y tế cho các nhóm đối tượng thuộc hộ cận nghèo; người thuộc hộ làm nông, lâm, ngư, diêm </w:t>
      </w:r>
      <w:r w:rsidR="00832276" w:rsidRPr="002B5BA1">
        <w:rPr>
          <w:sz w:val="28"/>
          <w:szCs w:val="28"/>
        </w:rPr>
        <w:t xml:space="preserve">nghiệp có mức sống trung bình; </w:t>
      </w:r>
      <w:r w:rsidRPr="002B5BA1">
        <w:rPr>
          <w:sz w:val="28"/>
          <w:szCs w:val="28"/>
        </w:rPr>
        <w:t xml:space="preserve">người nhiễm HIV, người cao tuổi nói riêng trên địa bàn thành phố trong những năm qua đã đạt được những kết quả nhất định. </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 xml:space="preserve">Công tác tuyên truyền phổ biến giáo dục pháp luật và vận động người tham gia bảo hiểm y tế đã được quan tâm, triển khai thực hiện; tỷ lệ người dân tham gia bảo hiểm y tế tăng đều qua các năm. </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Các cơ quan quản lý nhà nước về bảo hiểm y tế đã chủ động tham mưu, đề xuất, triển khai thực hiện có hiệu quả; chất lượng công tác khám, chữa bệnh cho các đối tượng tham gia bảo hiểm y tế từng bước được nâng lên, người bệnh được tiếp cận với các dịch vụ y tế thuận lợi; quyền lợi của người tham gia bảo hiểm y tế càng mở rộng góp phần đảm bảo an sinh xã hội và ổn định chính trị trên địa bàn thành phố.</w:t>
      </w:r>
    </w:p>
    <w:p w:rsidR="004E24EF" w:rsidRPr="002B5BA1" w:rsidRDefault="007837A0" w:rsidP="00071EC0">
      <w:pPr>
        <w:pStyle w:val="Vnbnnidung20"/>
        <w:tabs>
          <w:tab w:val="left" w:pos="1002"/>
        </w:tabs>
        <w:spacing w:before="60" w:after="60" w:line="360" w:lineRule="exact"/>
        <w:jc w:val="both"/>
        <w:rPr>
          <w:b/>
          <w:sz w:val="28"/>
          <w:szCs w:val="28"/>
        </w:rPr>
      </w:pPr>
      <w:r w:rsidRPr="002B5BA1">
        <w:rPr>
          <w:b/>
          <w:sz w:val="28"/>
          <w:szCs w:val="28"/>
        </w:rPr>
        <w:t>2. Hạn chế</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lastRenderedPageBreak/>
        <w:t>Hệ thống đại lý bảo hiểm y tế còn mỏng, chưa phát huy được vai trò là một kênh tuyên truyền, vận độ</w:t>
      </w:r>
      <w:r w:rsidR="00832276" w:rsidRPr="002B5BA1">
        <w:rPr>
          <w:sz w:val="28"/>
          <w:szCs w:val="28"/>
        </w:rPr>
        <w:t>ng</w:t>
      </w:r>
      <w:r w:rsidRPr="002B5BA1">
        <w:rPr>
          <w:sz w:val="28"/>
          <w:szCs w:val="28"/>
        </w:rPr>
        <w:t xml:space="preserve"> người dân tham gia và hiểu rõ hơn về quyền lợi, nghĩa vụ khi tham gia bảo hiểm y tế.</w:t>
      </w:r>
    </w:p>
    <w:p w:rsidR="004E24EF" w:rsidRPr="002B5BA1" w:rsidRDefault="007837A0" w:rsidP="00071EC0">
      <w:pPr>
        <w:pStyle w:val="Vnbnnidung20"/>
        <w:tabs>
          <w:tab w:val="left" w:pos="1002"/>
        </w:tabs>
        <w:spacing w:before="60" w:after="60" w:line="360" w:lineRule="exact"/>
        <w:jc w:val="both"/>
        <w:rPr>
          <w:sz w:val="28"/>
          <w:szCs w:val="28"/>
        </w:rPr>
      </w:pPr>
      <w:r w:rsidRPr="002B5BA1">
        <w:rPr>
          <w:sz w:val="28"/>
          <w:szCs w:val="28"/>
        </w:rPr>
        <w:t xml:space="preserve">Chất lượng khám chữa bệnh bảo hiểm y tế mặc dù có những chuyển biến rõ rệt nhưng vẫn cần tiếp tục cải tiến về chất lượng dịch vụ khám chữa bệnh để đáp ứng với sự hài lòng của người bệnh. </w:t>
      </w:r>
      <w:r w:rsidR="00832276" w:rsidRPr="002B5BA1">
        <w:rPr>
          <w:sz w:val="28"/>
          <w:szCs w:val="28"/>
        </w:rPr>
        <w:t>T</w:t>
      </w:r>
      <w:r w:rsidR="00B32C4E" w:rsidRPr="002B5BA1">
        <w:rPr>
          <w:sz w:val="28"/>
          <w:szCs w:val="28"/>
        </w:rPr>
        <w:t xml:space="preserve">hủ tục khám chữa bệnh, chuyển tuyến, </w:t>
      </w:r>
      <w:r w:rsidRPr="002B5BA1">
        <w:rPr>
          <w:sz w:val="28"/>
          <w:szCs w:val="28"/>
        </w:rPr>
        <w:t>thanh toán bảo hiểm y tế</w:t>
      </w:r>
      <w:r w:rsidR="00832276" w:rsidRPr="002B5BA1">
        <w:rPr>
          <w:sz w:val="28"/>
          <w:szCs w:val="28"/>
        </w:rPr>
        <w:t xml:space="preserve"> </w:t>
      </w:r>
      <w:r w:rsidR="00B32C4E" w:rsidRPr="002B5BA1">
        <w:rPr>
          <w:sz w:val="28"/>
          <w:szCs w:val="28"/>
        </w:rPr>
        <w:t>còn rườm rà;</w:t>
      </w:r>
      <w:r w:rsidRPr="002B5BA1">
        <w:rPr>
          <w:sz w:val="28"/>
          <w:szCs w:val="28"/>
        </w:rPr>
        <w:t xml:space="preserve"> chất lượng khám chữa bệnh của tuyến y tế cơ sở</w:t>
      </w:r>
      <w:r w:rsidR="00B32C4E" w:rsidRPr="002B5BA1">
        <w:rPr>
          <w:sz w:val="28"/>
          <w:szCs w:val="28"/>
        </w:rPr>
        <w:t>, tuyến huyện</w:t>
      </w:r>
      <w:r w:rsidRPr="002B5BA1">
        <w:rPr>
          <w:sz w:val="28"/>
          <w:szCs w:val="28"/>
        </w:rPr>
        <w:t xml:space="preserve"> còn thấp do khó khăn về nhân lực, cơ sở vật chất, trang thiết bị.</w:t>
      </w:r>
    </w:p>
    <w:p w:rsidR="004E24EF" w:rsidRPr="002B5BA1" w:rsidRDefault="007837A0" w:rsidP="00071EC0">
      <w:pPr>
        <w:shd w:val="clear" w:color="auto" w:fill="FFFFFF"/>
        <w:spacing w:before="60" w:after="60" w:line="360" w:lineRule="exact"/>
        <w:ind w:firstLine="720"/>
        <w:rPr>
          <w:rFonts w:ascii="Times New Roman" w:eastAsia="Times New Roman" w:hAnsi="Times New Roman" w:cs="Times New Roman"/>
          <w:b/>
          <w:bCs/>
          <w:sz w:val="24"/>
          <w:szCs w:val="24"/>
        </w:rPr>
      </w:pPr>
      <w:bookmarkStart w:id="3" w:name="muc_4"/>
      <w:r w:rsidRPr="002B5BA1">
        <w:rPr>
          <w:rFonts w:ascii="Times New Roman" w:eastAsia="Times New Roman" w:hAnsi="Times New Roman" w:cs="Times New Roman"/>
          <w:b/>
          <w:bCs/>
          <w:sz w:val="24"/>
          <w:szCs w:val="24"/>
        </w:rPr>
        <w:t>IV. ĐỀ XUẤT, KIẾN NGHỊ</w:t>
      </w:r>
      <w:bookmarkEnd w:id="3"/>
    </w:p>
    <w:p w:rsidR="004E24EF" w:rsidRPr="002B5BA1" w:rsidRDefault="007837A0" w:rsidP="00071EC0">
      <w:pPr>
        <w:shd w:val="clear" w:color="auto" w:fill="FFFFFF"/>
        <w:spacing w:before="60" w:after="60" w:line="360" w:lineRule="exact"/>
        <w:ind w:firstLine="720"/>
        <w:rPr>
          <w:rFonts w:ascii="Times New Roman" w:eastAsia="Times New Roman" w:hAnsi="Times New Roman" w:cs="Times New Roman"/>
          <w:bCs/>
          <w:sz w:val="28"/>
          <w:szCs w:val="28"/>
        </w:rPr>
      </w:pPr>
      <w:r w:rsidRPr="002B5BA1">
        <w:rPr>
          <w:rFonts w:ascii="Times New Roman" w:hAnsi="Times New Roman"/>
          <w:sz w:val="28"/>
          <w:szCs w:val="28"/>
        </w:rPr>
        <w:t xml:space="preserve">Đề nghị Hội đồng nhân dân thành phố quan tâm </w:t>
      </w:r>
      <w:r w:rsidR="00B32C4E" w:rsidRPr="002B5BA1">
        <w:rPr>
          <w:rFonts w:ascii="Times New Roman" w:hAnsi="Times New Roman"/>
          <w:sz w:val="28"/>
          <w:szCs w:val="28"/>
        </w:rPr>
        <w:t xml:space="preserve">nghiên cứu, </w:t>
      </w:r>
      <w:r w:rsidRPr="002B5BA1">
        <w:rPr>
          <w:rFonts w:ascii="Times New Roman" w:hAnsi="Times New Roman"/>
          <w:sz w:val="28"/>
          <w:szCs w:val="28"/>
        </w:rPr>
        <w:t xml:space="preserve">xem xét, quyết nghị thông qua Nghị quyết </w:t>
      </w:r>
      <w:r w:rsidRPr="002B5BA1">
        <w:rPr>
          <w:rFonts w:ascii="Times New Roman" w:hAnsi="Times New Roman"/>
          <w:bCs/>
          <w:kern w:val="36"/>
          <w:sz w:val="28"/>
          <w:szCs w:val="28"/>
        </w:rPr>
        <w:t>quy định chính sách hỗ trợ cấp thẻ bảo hiểm y tế cho người cao tuổi từ 60 – 69 tuổi không có lương hưu, không có trợ cấp xã hội hàng tháng trên địa bàn thành phố Hải Phòng</w:t>
      </w:r>
      <w:r w:rsidR="00B32C4E" w:rsidRPr="002B5BA1">
        <w:rPr>
          <w:rFonts w:ascii="Times New Roman" w:hAnsi="Times New Roman"/>
          <w:bCs/>
          <w:kern w:val="36"/>
          <w:sz w:val="28"/>
          <w:szCs w:val="28"/>
        </w:rPr>
        <w:t xml:space="preserve"> nhằm mở rộng đối tượng thụ hưởng và hoàn thiện dần chính sách an sinh xã hội</w:t>
      </w:r>
      <w:r w:rsidRPr="002B5BA1">
        <w:rPr>
          <w:rFonts w:ascii="Times New Roman" w:hAnsi="Times New Roman"/>
          <w:bCs/>
          <w:kern w:val="36"/>
          <w:sz w:val="28"/>
          <w:szCs w:val="28"/>
        </w:rPr>
        <w:t>.</w:t>
      </w:r>
    </w:p>
    <w:p w:rsidR="004E24EF" w:rsidRPr="002B5BA1" w:rsidRDefault="007837A0" w:rsidP="00071EC0">
      <w:pPr>
        <w:shd w:val="clear" w:color="auto" w:fill="FFFFFF"/>
        <w:spacing w:before="60" w:after="60" w:line="360" w:lineRule="exact"/>
        <w:ind w:firstLine="720"/>
        <w:rPr>
          <w:rFonts w:ascii="Times New Roman" w:hAnsi="Times New Roman"/>
          <w:bCs/>
          <w:kern w:val="36"/>
          <w:sz w:val="28"/>
          <w:szCs w:val="28"/>
        </w:rPr>
      </w:pPr>
      <w:r w:rsidRPr="002B5BA1">
        <w:rPr>
          <w:rFonts w:ascii="Times New Roman" w:hAnsi="Times New Roman"/>
          <w:sz w:val="28"/>
          <w:szCs w:val="28"/>
        </w:rPr>
        <w:t xml:space="preserve">Trên đây là Báo cáo tổng kết thi hành pháp luật về chính sách bảo hiểm y tế liên quan đến xây dựng Nghị quyết </w:t>
      </w:r>
      <w:r w:rsidRPr="002B5BA1">
        <w:rPr>
          <w:rFonts w:ascii="Times New Roman" w:hAnsi="Times New Roman"/>
          <w:bCs/>
          <w:kern w:val="36"/>
          <w:sz w:val="28"/>
          <w:szCs w:val="28"/>
        </w:rPr>
        <w:t>quy định chính sách hỗ trợ cấp thẻ bảo hiểm y tế cho người cao tuổi từ 60 – 69 tuổi không có lương hưu, không có trợ cấp xã hội hàng tháng trên địa bàn thành phố Hải Phòng./.</w:t>
      </w:r>
    </w:p>
    <w:p w:rsidR="004E24EF" w:rsidRPr="002B5BA1" w:rsidRDefault="004E24EF" w:rsidP="00071EC0">
      <w:pPr>
        <w:shd w:val="clear" w:color="auto" w:fill="FFFFFF"/>
        <w:spacing w:before="60" w:after="60" w:line="360" w:lineRule="exact"/>
        <w:ind w:firstLine="720"/>
        <w:rPr>
          <w:rFonts w:ascii="Times New Roman" w:eastAsia="Times New Roman" w:hAnsi="Times New Roman" w:cs="Times New Roman"/>
          <w:bCs/>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2B5BA1" w:rsidRPr="002B5BA1">
        <w:trPr>
          <w:tblCellSpacing w:w="0" w:type="dxa"/>
        </w:trPr>
        <w:tc>
          <w:tcPr>
            <w:tcW w:w="4428" w:type="dxa"/>
            <w:shd w:val="clear" w:color="auto" w:fill="FFFFFF"/>
            <w:tcMar>
              <w:top w:w="0" w:type="dxa"/>
              <w:left w:w="108" w:type="dxa"/>
              <w:bottom w:w="0" w:type="dxa"/>
              <w:right w:w="108" w:type="dxa"/>
            </w:tcMar>
            <w:hideMark/>
          </w:tcPr>
          <w:p w:rsidR="004E24EF" w:rsidRPr="002B5BA1" w:rsidRDefault="007837A0">
            <w:pPr>
              <w:jc w:val="left"/>
              <w:rPr>
                <w:rFonts w:ascii="Times New Roman" w:eastAsia="Times New Roman" w:hAnsi="Times New Roman" w:cs="Times New Roman"/>
              </w:rPr>
            </w:pPr>
            <w:r w:rsidRPr="002B5BA1">
              <w:rPr>
                <w:rFonts w:ascii="Times New Roman" w:eastAsia="Times New Roman" w:hAnsi="Times New Roman" w:cs="Times New Roman"/>
                <w:sz w:val="24"/>
                <w:szCs w:val="24"/>
              </w:rPr>
              <w:t> </w:t>
            </w:r>
            <w:r w:rsidRPr="002B5BA1">
              <w:rPr>
                <w:rFonts w:ascii="Times New Roman" w:eastAsia="Times New Roman" w:hAnsi="Times New Roman" w:cs="Times New Roman"/>
                <w:b/>
                <w:bCs/>
                <w:i/>
                <w:iCs/>
                <w:sz w:val="24"/>
                <w:szCs w:val="24"/>
              </w:rPr>
              <w:t>Nơi nhận:</w:t>
            </w:r>
            <w:r w:rsidRPr="002B5BA1">
              <w:rPr>
                <w:rFonts w:ascii="Times New Roman" w:eastAsia="Times New Roman" w:hAnsi="Times New Roman" w:cs="Times New Roman"/>
                <w:b/>
                <w:bCs/>
                <w:i/>
                <w:iCs/>
                <w:sz w:val="24"/>
                <w:szCs w:val="24"/>
              </w:rPr>
              <w:br/>
            </w:r>
            <w:r w:rsidRPr="002B5BA1">
              <w:rPr>
                <w:rFonts w:ascii="Times New Roman" w:eastAsia="Times New Roman" w:hAnsi="Times New Roman" w:cs="Times New Roman"/>
              </w:rPr>
              <w:t>- UBND TP (để báo cáo);</w:t>
            </w:r>
            <w:r w:rsidRPr="002B5BA1">
              <w:rPr>
                <w:rFonts w:ascii="Times New Roman" w:eastAsia="Times New Roman" w:hAnsi="Times New Roman" w:cs="Times New Roman"/>
              </w:rPr>
              <w:br/>
              <w:t>- Sở Tư pháp;</w:t>
            </w:r>
          </w:p>
          <w:p w:rsidR="004E24EF" w:rsidRPr="002B5BA1" w:rsidRDefault="007837A0">
            <w:pPr>
              <w:jc w:val="left"/>
              <w:rPr>
                <w:rFonts w:ascii="Times New Roman" w:eastAsia="Times New Roman" w:hAnsi="Times New Roman" w:cs="Times New Roman"/>
              </w:rPr>
            </w:pPr>
            <w:r w:rsidRPr="002B5BA1">
              <w:rPr>
                <w:rFonts w:ascii="Times New Roman" w:eastAsia="Times New Roman" w:hAnsi="Times New Roman" w:cs="Times New Roman"/>
              </w:rPr>
              <w:t>- Giám đốc;</w:t>
            </w:r>
          </w:p>
          <w:p w:rsidR="004E24EF" w:rsidRPr="002B5BA1" w:rsidRDefault="007837A0">
            <w:pPr>
              <w:jc w:val="left"/>
              <w:rPr>
                <w:rFonts w:ascii="Times New Roman" w:eastAsia="Times New Roman" w:hAnsi="Times New Roman" w:cs="Times New Roman"/>
              </w:rPr>
            </w:pPr>
            <w:r w:rsidRPr="002B5BA1">
              <w:rPr>
                <w:rFonts w:ascii="Times New Roman" w:eastAsia="Times New Roman" w:hAnsi="Times New Roman" w:cs="Times New Roman"/>
              </w:rPr>
              <w:t>- PGĐ Phạm Thị Huyền;</w:t>
            </w:r>
          </w:p>
          <w:p w:rsidR="004E24EF" w:rsidRPr="002B5BA1" w:rsidRDefault="007837A0">
            <w:pPr>
              <w:jc w:val="left"/>
              <w:rPr>
                <w:rFonts w:ascii="Times New Roman" w:eastAsia="Times New Roman" w:hAnsi="Times New Roman" w:cs="Times New Roman"/>
                <w:sz w:val="28"/>
                <w:szCs w:val="28"/>
              </w:rPr>
            </w:pPr>
            <w:r w:rsidRPr="002B5BA1">
              <w:rPr>
                <w:rFonts w:ascii="Times New Roman" w:eastAsia="Times New Roman" w:hAnsi="Times New Roman" w:cs="Times New Roman"/>
              </w:rPr>
              <w:t>- Lưu: VT,BTXH.</w:t>
            </w:r>
          </w:p>
        </w:tc>
        <w:tc>
          <w:tcPr>
            <w:tcW w:w="4752" w:type="dxa"/>
            <w:shd w:val="clear" w:color="auto" w:fill="FFFFFF"/>
            <w:tcMar>
              <w:top w:w="0" w:type="dxa"/>
              <w:left w:w="108" w:type="dxa"/>
              <w:bottom w:w="0" w:type="dxa"/>
              <w:right w:w="108" w:type="dxa"/>
            </w:tcMar>
            <w:hideMark/>
          </w:tcPr>
          <w:p w:rsidR="004E24EF" w:rsidRPr="002B5BA1" w:rsidRDefault="007837A0">
            <w:pPr>
              <w:jc w:val="center"/>
              <w:rPr>
                <w:rFonts w:ascii="Times New Roman" w:eastAsia="Times New Roman" w:hAnsi="Times New Roman" w:cs="Times New Roman"/>
                <w:b/>
                <w:bCs/>
                <w:sz w:val="26"/>
                <w:szCs w:val="26"/>
              </w:rPr>
            </w:pPr>
            <w:r w:rsidRPr="002B5BA1">
              <w:rPr>
                <w:rFonts w:ascii="Times New Roman" w:eastAsia="Times New Roman" w:hAnsi="Times New Roman" w:cs="Times New Roman"/>
                <w:b/>
                <w:bCs/>
                <w:sz w:val="26"/>
                <w:szCs w:val="26"/>
              </w:rPr>
              <w:t>GIÁM ĐỐC</w:t>
            </w:r>
          </w:p>
          <w:p w:rsidR="004E24EF" w:rsidRDefault="007837A0">
            <w:pPr>
              <w:jc w:val="center"/>
              <w:rPr>
                <w:rFonts w:ascii="Times New Roman" w:eastAsia="Times New Roman" w:hAnsi="Times New Roman" w:cs="Times New Roman"/>
                <w:b/>
                <w:bCs/>
                <w:sz w:val="26"/>
                <w:szCs w:val="26"/>
              </w:rPr>
            </w:pPr>
            <w:r w:rsidRPr="002B5BA1">
              <w:rPr>
                <w:rFonts w:ascii="Times New Roman" w:eastAsia="Times New Roman" w:hAnsi="Times New Roman" w:cs="Times New Roman"/>
                <w:b/>
                <w:bCs/>
                <w:sz w:val="26"/>
                <w:szCs w:val="26"/>
              </w:rPr>
              <w:br/>
            </w:r>
          </w:p>
          <w:p w:rsidR="00665D9F" w:rsidRPr="002B5BA1" w:rsidRDefault="00665D9F">
            <w:pPr>
              <w:jc w:val="center"/>
              <w:rPr>
                <w:rFonts w:ascii="Times New Roman" w:eastAsia="Times New Roman" w:hAnsi="Times New Roman" w:cs="Times New Roman"/>
                <w:b/>
                <w:bCs/>
                <w:sz w:val="26"/>
                <w:szCs w:val="26"/>
              </w:rPr>
            </w:pPr>
            <w:bookmarkStart w:id="4" w:name="_GoBack"/>
            <w:bookmarkEnd w:id="4"/>
          </w:p>
          <w:p w:rsidR="004E24EF" w:rsidRPr="002B5BA1" w:rsidRDefault="004E24EF">
            <w:pPr>
              <w:jc w:val="center"/>
              <w:rPr>
                <w:rFonts w:ascii="Times New Roman" w:eastAsia="Times New Roman" w:hAnsi="Times New Roman" w:cs="Times New Roman"/>
                <w:b/>
                <w:bCs/>
                <w:sz w:val="26"/>
                <w:szCs w:val="26"/>
              </w:rPr>
            </w:pPr>
          </w:p>
          <w:p w:rsidR="004E24EF" w:rsidRPr="002B5BA1" w:rsidRDefault="004E24EF">
            <w:pPr>
              <w:jc w:val="center"/>
              <w:rPr>
                <w:rFonts w:ascii="Times New Roman" w:eastAsia="Times New Roman" w:hAnsi="Times New Roman" w:cs="Times New Roman"/>
                <w:b/>
                <w:bCs/>
                <w:szCs w:val="26"/>
              </w:rPr>
            </w:pPr>
          </w:p>
          <w:p w:rsidR="004E24EF" w:rsidRPr="002B5BA1" w:rsidRDefault="007837A0">
            <w:pPr>
              <w:spacing w:before="120" w:after="120" w:line="146" w:lineRule="atLeast"/>
              <w:jc w:val="center"/>
              <w:rPr>
                <w:rFonts w:ascii="Times New Roman" w:eastAsia="Times New Roman" w:hAnsi="Times New Roman" w:cs="Times New Roman"/>
                <w:b/>
                <w:sz w:val="16"/>
                <w:szCs w:val="28"/>
              </w:rPr>
            </w:pPr>
            <w:r w:rsidRPr="002B5BA1">
              <w:rPr>
                <w:rFonts w:ascii="Times New Roman" w:eastAsia="Times New Roman" w:hAnsi="Times New Roman" w:cs="Times New Roman"/>
                <w:b/>
                <w:bCs/>
                <w:sz w:val="28"/>
                <w:szCs w:val="28"/>
              </w:rPr>
              <w:t>Nguyễn Cao Lân</w:t>
            </w:r>
          </w:p>
        </w:tc>
      </w:tr>
    </w:tbl>
    <w:p w:rsidR="004E24EF" w:rsidRPr="002B5BA1" w:rsidRDefault="004E24EF">
      <w:pPr>
        <w:rPr>
          <w:rFonts w:ascii="Times New Roman" w:hAnsi="Times New Roman" w:cs="Times New Roman"/>
          <w:sz w:val="28"/>
          <w:szCs w:val="28"/>
        </w:rPr>
      </w:pPr>
    </w:p>
    <w:sectPr w:rsidR="004E24EF" w:rsidRPr="002B5BA1">
      <w:footerReference w:type="default" r:id="rId8"/>
      <w:pgSz w:w="11907" w:h="16840" w:code="9"/>
      <w:pgMar w:top="851" w:right="1134" w:bottom="709" w:left="1701" w:header="284"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91" w:rsidRDefault="00674291">
      <w:r>
        <w:separator/>
      </w:r>
    </w:p>
  </w:endnote>
  <w:endnote w:type="continuationSeparator" w:id="0">
    <w:p w:rsidR="00674291" w:rsidRDefault="0067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05652"/>
      <w:docPartObj>
        <w:docPartGallery w:val="Page Numbers (Bottom of Page)"/>
        <w:docPartUnique/>
      </w:docPartObj>
    </w:sdtPr>
    <w:sdtEndPr>
      <w:rPr>
        <w:rFonts w:ascii="Times New Roman" w:hAnsi="Times New Roman" w:cs="Times New Roman"/>
        <w:noProof/>
        <w:sz w:val="24"/>
        <w:szCs w:val="24"/>
      </w:rPr>
    </w:sdtEndPr>
    <w:sdtContent>
      <w:p w:rsidR="004E24EF" w:rsidRDefault="007837A0">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665D9F">
          <w:rPr>
            <w:rFonts w:ascii="Times New Roman" w:hAnsi="Times New Roman" w:cs="Times New Roman"/>
            <w:noProof/>
            <w:sz w:val="24"/>
            <w:szCs w:val="24"/>
          </w:rPr>
          <w:t>8</w:t>
        </w:r>
        <w:r>
          <w:rPr>
            <w:rFonts w:ascii="Times New Roman" w:hAnsi="Times New Roman" w:cs="Times New Roman"/>
            <w:noProof/>
            <w:sz w:val="24"/>
            <w:szCs w:val="24"/>
          </w:rPr>
          <w:fldChar w:fldCharType="end"/>
        </w:r>
      </w:p>
    </w:sdtContent>
  </w:sdt>
  <w:p w:rsidR="004E24EF" w:rsidRDefault="004E24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91" w:rsidRDefault="00674291">
      <w:r>
        <w:separator/>
      </w:r>
    </w:p>
  </w:footnote>
  <w:footnote w:type="continuationSeparator" w:id="0">
    <w:p w:rsidR="00674291" w:rsidRDefault="00674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4F5"/>
    <w:multiLevelType w:val="hybridMultilevel"/>
    <w:tmpl w:val="A272706E"/>
    <w:lvl w:ilvl="0" w:tplc="41B085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16B87"/>
    <w:multiLevelType w:val="hybridMultilevel"/>
    <w:tmpl w:val="6386688E"/>
    <w:lvl w:ilvl="0" w:tplc="C344C322">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5102C"/>
    <w:multiLevelType w:val="hybridMultilevel"/>
    <w:tmpl w:val="17A6ABCC"/>
    <w:lvl w:ilvl="0" w:tplc="AF00FF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2C470E0"/>
    <w:multiLevelType w:val="hybridMultilevel"/>
    <w:tmpl w:val="5EF20460"/>
    <w:lvl w:ilvl="0" w:tplc="91644A7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B783260"/>
    <w:multiLevelType w:val="hybridMultilevel"/>
    <w:tmpl w:val="CA50FD5A"/>
    <w:lvl w:ilvl="0" w:tplc="12CA2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E7E3B"/>
    <w:multiLevelType w:val="hybridMultilevel"/>
    <w:tmpl w:val="9516D434"/>
    <w:lvl w:ilvl="0" w:tplc="FC8E748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3A217E"/>
    <w:multiLevelType w:val="hybridMultilevel"/>
    <w:tmpl w:val="B8261AFC"/>
    <w:lvl w:ilvl="0" w:tplc="1B48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30B80"/>
    <w:multiLevelType w:val="hybridMultilevel"/>
    <w:tmpl w:val="8E6672D6"/>
    <w:lvl w:ilvl="0" w:tplc="30F6DD68">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D607AF"/>
    <w:multiLevelType w:val="hybridMultilevel"/>
    <w:tmpl w:val="0758251E"/>
    <w:lvl w:ilvl="0" w:tplc="5EAA2768">
      <w:start w:val="1"/>
      <w:numFmt w:val="upperRoman"/>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B75DF1"/>
    <w:multiLevelType w:val="hybridMultilevel"/>
    <w:tmpl w:val="38488EE2"/>
    <w:lvl w:ilvl="0" w:tplc="2C5634DC">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583A73"/>
    <w:multiLevelType w:val="hybridMultilevel"/>
    <w:tmpl w:val="7562BE28"/>
    <w:lvl w:ilvl="0" w:tplc="BA7CE12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9"/>
  </w:num>
  <w:num w:numId="6">
    <w:abstractNumId w:val="6"/>
  </w:num>
  <w:num w:numId="7">
    <w:abstractNumId w:val="7"/>
  </w:num>
  <w:num w:numId="8">
    <w:abstractNumId w:val="10"/>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24EF"/>
    <w:rsid w:val="00071EC0"/>
    <w:rsid w:val="002B03B7"/>
    <w:rsid w:val="002B5BA1"/>
    <w:rsid w:val="002C0D85"/>
    <w:rsid w:val="004E24EF"/>
    <w:rsid w:val="00643A8A"/>
    <w:rsid w:val="00665D9F"/>
    <w:rsid w:val="00674291"/>
    <w:rsid w:val="007837A0"/>
    <w:rsid w:val="00832276"/>
    <w:rsid w:val="008E72B1"/>
    <w:rsid w:val="00A51421"/>
    <w:rsid w:val="00AE7407"/>
    <w:rsid w:val="00B32C4E"/>
    <w:rsid w:val="00C11015"/>
    <w:rsid w:val="00C61A7A"/>
    <w:rsid w:val="00CD7DA5"/>
    <w:rsid w:val="00DE20D4"/>
    <w:rsid w:val="00F423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
        <o:r id="V:Rule2" type="connector" idref="#AutoShape 4"/>
        <o:r id="V:Rule3" type="connector" idref="#_x0000_s1028"/>
      </o:rules>
    </o:shapelayout>
  </w:shapeDefaults>
  <w:decimalSymbol w:val="."/>
  <w:listSeparator w:val=","/>
  <w14:docId w14:val="5575E88D"/>
  <w15:docId w15:val="{00BDCC92-0D87-47AE-8CDF-1C216498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i/>
      <w:iCs/>
    </w:rPr>
  </w:style>
  <w:style w:type="character" w:customStyle="1" w:styleId="Vnbnnidung2">
    <w:name w:val="Văn bản nội dung (2)_"/>
    <w:basedOn w:val="DefaultParagraphFont"/>
    <w:link w:val="Vnbnnidung20"/>
    <w:rPr>
      <w:rFonts w:ascii="Times New Roman" w:eastAsia="Times New Roman" w:hAnsi="Times New Roman" w:cs="Times New Roman"/>
      <w:sz w:val="26"/>
      <w:szCs w:val="26"/>
    </w:rPr>
  </w:style>
  <w:style w:type="paragraph" w:customStyle="1" w:styleId="Vnbnnidung20">
    <w:name w:val="Văn bản nội dung (2)"/>
    <w:basedOn w:val="Normal"/>
    <w:link w:val="Vnbnnidung2"/>
    <w:pPr>
      <w:widowControl w:val="0"/>
      <w:spacing w:after="40" w:line="259" w:lineRule="auto"/>
      <w:ind w:firstLine="720"/>
      <w:jc w:val="lef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6579">
      <w:bodyDiv w:val="1"/>
      <w:marLeft w:val="0"/>
      <w:marRight w:val="0"/>
      <w:marTop w:val="0"/>
      <w:marBottom w:val="0"/>
      <w:divBdr>
        <w:top w:val="none" w:sz="0" w:space="0" w:color="auto"/>
        <w:left w:val="none" w:sz="0" w:space="0" w:color="auto"/>
        <w:bottom w:val="none" w:sz="0" w:space="0" w:color="auto"/>
        <w:right w:val="none" w:sz="0" w:space="0" w:color="auto"/>
      </w:divBdr>
    </w:div>
    <w:div w:id="630474751">
      <w:bodyDiv w:val="1"/>
      <w:marLeft w:val="0"/>
      <w:marRight w:val="0"/>
      <w:marTop w:val="0"/>
      <w:marBottom w:val="0"/>
      <w:divBdr>
        <w:top w:val="none" w:sz="0" w:space="0" w:color="auto"/>
        <w:left w:val="none" w:sz="0" w:space="0" w:color="auto"/>
        <w:bottom w:val="none" w:sz="0" w:space="0" w:color="auto"/>
        <w:right w:val="none" w:sz="0" w:space="0" w:color="auto"/>
      </w:divBdr>
    </w:div>
    <w:div w:id="746347154">
      <w:bodyDiv w:val="1"/>
      <w:marLeft w:val="0"/>
      <w:marRight w:val="0"/>
      <w:marTop w:val="0"/>
      <w:marBottom w:val="0"/>
      <w:divBdr>
        <w:top w:val="none" w:sz="0" w:space="0" w:color="auto"/>
        <w:left w:val="none" w:sz="0" w:space="0" w:color="auto"/>
        <w:bottom w:val="none" w:sz="0" w:space="0" w:color="auto"/>
        <w:right w:val="none" w:sz="0" w:space="0" w:color="auto"/>
      </w:divBdr>
    </w:div>
    <w:div w:id="764957217">
      <w:bodyDiv w:val="1"/>
      <w:marLeft w:val="0"/>
      <w:marRight w:val="0"/>
      <w:marTop w:val="0"/>
      <w:marBottom w:val="0"/>
      <w:divBdr>
        <w:top w:val="none" w:sz="0" w:space="0" w:color="auto"/>
        <w:left w:val="none" w:sz="0" w:space="0" w:color="auto"/>
        <w:bottom w:val="none" w:sz="0" w:space="0" w:color="auto"/>
        <w:right w:val="none" w:sz="0" w:space="0" w:color="auto"/>
      </w:divBdr>
    </w:div>
    <w:div w:id="817847539">
      <w:bodyDiv w:val="1"/>
      <w:marLeft w:val="0"/>
      <w:marRight w:val="0"/>
      <w:marTop w:val="0"/>
      <w:marBottom w:val="0"/>
      <w:divBdr>
        <w:top w:val="none" w:sz="0" w:space="0" w:color="auto"/>
        <w:left w:val="none" w:sz="0" w:space="0" w:color="auto"/>
        <w:bottom w:val="none" w:sz="0" w:space="0" w:color="auto"/>
        <w:right w:val="none" w:sz="0" w:space="0" w:color="auto"/>
      </w:divBdr>
    </w:div>
    <w:div w:id="821234402">
      <w:bodyDiv w:val="1"/>
      <w:marLeft w:val="0"/>
      <w:marRight w:val="0"/>
      <w:marTop w:val="0"/>
      <w:marBottom w:val="0"/>
      <w:divBdr>
        <w:top w:val="none" w:sz="0" w:space="0" w:color="auto"/>
        <w:left w:val="none" w:sz="0" w:space="0" w:color="auto"/>
        <w:bottom w:val="none" w:sz="0" w:space="0" w:color="auto"/>
        <w:right w:val="none" w:sz="0" w:space="0" w:color="auto"/>
      </w:divBdr>
    </w:div>
    <w:div w:id="1033457036">
      <w:bodyDiv w:val="1"/>
      <w:marLeft w:val="0"/>
      <w:marRight w:val="0"/>
      <w:marTop w:val="0"/>
      <w:marBottom w:val="0"/>
      <w:divBdr>
        <w:top w:val="none" w:sz="0" w:space="0" w:color="auto"/>
        <w:left w:val="none" w:sz="0" w:space="0" w:color="auto"/>
        <w:bottom w:val="none" w:sz="0" w:space="0" w:color="auto"/>
        <w:right w:val="none" w:sz="0" w:space="0" w:color="auto"/>
      </w:divBdr>
    </w:div>
    <w:div w:id="13927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7974-720C-42F5-80D2-96C8AB71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8</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263</cp:revision>
  <cp:lastPrinted>2024-03-04T04:06:00Z</cp:lastPrinted>
  <dcterms:created xsi:type="dcterms:W3CDTF">2018-10-30T08:17:00Z</dcterms:created>
  <dcterms:modified xsi:type="dcterms:W3CDTF">2024-03-05T00:09:00Z</dcterms:modified>
</cp:coreProperties>
</file>